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5D12A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D12A5" w:rsidRDefault="0074294F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( 0614082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( 0829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D12A5" w:rsidRDefault="0074294F">
            <w:pPr>
              <w:ind w:left="60"/>
              <w:jc w:val="both"/>
            </w:pPr>
            <w:proofErr w:type="spellStart"/>
            <w:r>
              <w:rPr>
                <w:sz w:val="24"/>
              </w:rPr>
              <w:t>Інші</w:t>
            </w:r>
            <w:proofErr w:type="spellEnd"/>
            <w:r>
              <w:rPr>
                <w:sz w:val="24"/>
              </w:rPr>
              <w:t xml:space="preserve"> заходи в </w:t>
            </w:r>
            <w:proofErr w:type="spellStart"/>
            <w:r>
              <w:rPr>
                <w:sz w:val="24"/>
              </w:rPr>
              <w:t>галузі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мистецтва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ідтримка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культурно -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заходів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-39090,17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-39090,17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left="60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-39090,17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right="60"/>
              <w:jc w:val="right"/>
            </w:pPr>
            <w:r>
              <w:rPr>
                <w:b/>
                <w:sz w:val="16"/>
              </w:rPr>
              <w:t>-39090,17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D12A5" w:rsidRDefault="005D12A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5D12A5">
            <w:pPr>
              <w:ind w:right="60"/>
              <w:jc w:val="right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-39090,17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-39090,17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фінансуються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план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учасників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беруть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участь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заходах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план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42,00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42,00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42,00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42,00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321600,00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282509,83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-39090,17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-39090,17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одного заходу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17866,66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17866,66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11771,00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11771,00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-6095,66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-6095,66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5D12A5">
            <w:pPr>
              <w:jc w:val="center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плановому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фактичного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D12A5" w:rsidRDefault="0074294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74294F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D12A5" w:rsidRDefault="005D12A5"/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gramStart"/>
            <w:r>
              <w:t>актуальною</w:t>
            </w:r>
            <w:proofErr w:type="gramEnd"/>
            <w:r>
              <w:t>;</w:t>
            </w:r>
            <w:r>
              <w:br/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ефективною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творчих</w:t>
            </w:r>
            <w:proofErr w:type="spellEnd"/>
            <w:r>
              <w:t xml:space="preserve"> потреб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естетичне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, </w:t>
            </w:r>
            <w:proofErr w:type="spellStart"/>
            <w:r>
              <w:t>розвитку</w:t>
            </w:r>
            <w:proofErr w:type="spellEnd"/>
            <w:r>
              <w:t xml:space="preserve"> та </w:t>
            </w:r>
            <w:proofErr w:type="spellStart"/>
            <w:r>
              <w:t>збагачення</w:t>
            </w:r>
            <w:proofErr w:type="spellEnd"/>
            <w:r>
              <w:t xml:space="preserve"> духовного </w:t>
            </w:r>
            <w:proofErr w:type="spellStart"/>
            <w:r>
              <w:t>потенціалу</w:t>
            </w:r>
            <w:proofErr w:type="spellEnd"/>
            <w:r>
              <w:t>;</w:t>
            </w:r>
            <w:r>
              <w:br/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корисна</w:t>
            </w:r>
            <w:proofErr w:type="spellEnd"/>
            <w:r>
              <w:t xml:space="preserve"> для </w:t>
            </w:r>
            <w:proofErr w:type="spellStart"/>
            <w:r>
              <w:t>творчих</w:t>
            </w:r>
            <w:proofErr w:type="spellEnd"/>
            <w:r>
              <w:t xml:space="preserve">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>;</w:t>
            </w:r>
            <w:r>
              <w:br/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44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D12A5" w:rsidRDefault="005D12A5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2A5" w:rsidRDefault="0074294F">
            <w:proofErr w:type="spellStart"/>
            <w:r>
              <w:t>Наслідки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є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іальнозначимими</w:t>
            </w:r>
            <w:proofErr w:type="spellEnd"/>
            <w:r>
              <w:t xml:space="preserve"> для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творчих</w:t>
            </w:r>
            <w:proofErr w:type="spellEnd"/>
            <w:r>
              <w:t xml:space="preserve">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, </w:t>
            </w:r>
            <w:proofErr w:type="spellStart"/>
            <w:r>
              <w:t>розвитку</w:t>
            </w:r>
            <w:proofErr w:type="spellEnd"/>
            <w:r>
              <w:t xml:space="preserve"> та </w:t>
            </w:r>
            <w:proofErr w:type="spellStart"/>
            <w:r>
              <w:t>збагачення</w:t>
            </w:r>
            <w:proofErr w:type="spellEnd"/>
            <w:r>
              <w:t xml:space="preserve"> духовного </w:t>
            </w:r>
            <w:proofErr w:type="spellStart"/>
            <w:r>
              <w:t>потенціалу</w:t>
            </w:r>
            <w:proofErr w:type="spellEnd"/>
            <w:r>
              <w:t xml:space="preserve"> та </w:t>
            </w:r>
            <w:proofErr w:type="spellStart"/>
            <w:r>
              <w:t>має</w:t>
            </w:r>
            <w:proofErr w:type="spellEnd"/>
            <w:r>
              <w:t xml:space="preserve"> </w:t>
            </w:r>
            <w:proofErr w:type="spellStart"/>
            <w:r>
              <w:t>довгострокові</w:t>
            </w:r>
            <w:proofErr w:type="spellEnd"/>
            <w:r>
              <w:t xml:space="preserve"> </w:t>
            </w:r>
            <w:proofErr w:type="spellStart"/>
            <w:r>
              <w:t>наслідки</w:t>
            </w:r>
            <w:proofErr w:type="spellEnd"/>
            <w:r>
              <w:t>."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Pr="00FB530C" w:rsidRDefault="00FB530C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  <w:tr w:rsidR="005D12A5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7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D12A5" w:rsidRDefault="005D12A5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12A5" w:rsidRDefault="0074294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5D12A5" w:rsidRDefault="005D12A5">
            <w:pPr>
              <w:pStyle w:val="EMPTYCELLSTYLE"/>
            </w:pPr>
          </w:p>
        </w:tc>
        <w:tc>
          <w:tcPr>
            <w:tcW w:w="400" w:type="dxa"/>
          </w:tcPr>
          <w:p w:rsidR="005D12A5" w:rsidRDefault="005D12A5">
            <w:pPr>
              <w:pStyle w:val="EMPTYCELLSTYLE"/>
            </w:pPr>
          </w:p>
        </w:tc>
      </w:tr>
    </w:tbl>
    <w:p w:rsidR="0074294F" w:rsidRDefault="0074294F"/>
    <w:sectPr w:rsidR="0074294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A5"/>
    <w:rsid w:val="005D12A5"/>
    <w:rsid w:val="0074294F"/>
    <w:rsid w:val="00FB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2020-03-16T07:51:00Z</dcterms:created>
  <dcterms:modified xsi:type="dcterms:W3CDTF">2020-03-16T07:51:00Z</dcterms:modified>
</cp:coreProperties>
</file>