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DE498A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80A" w:rsidRPr="00B469E6" w:rsidRDefault="003B380A" w:rsidP="00B469E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9E6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3B380A" w:rsidRPr="00B469E6" w:rsidRDefault="003B380A" w:rsidP="00B469E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9E6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3B380A" w:rsidRPr="00B469E6" w:rsidRDefault="003B380A" w:rsidP="00B469E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9E6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січень-</w:t>
      </w:r>
      <w:r w:rsidR="00EC795B" w:rsidRPr="00B469E6">
        <w:rPr>
          <w:rFonts w:ascii="Times New Roman" w:hAnsi="Times New Roman" w:cs="Times New Roman"/>
          <w:b/>
          <w:sz w:val="28"/>
          <w:szCs w:val="28"/>
          <w:lang w:val="uk-UA"/>
        </w:rPr>
        <w:t>травень</w:t>
      </w:r>
      <w:r w:rsidRPr="00B46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року.</w:t>
      </w:r>
    </w:p>
    <w:p w:rsidR="003B380A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2771" w:rsidRPr="005D6CED" w:rsidRDefault="003B3541" w:rsidP="00A1277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6CED">
        <w:rPr>
          <w:sz w:val="28"/>
          <w:szCs w:val="28"/>
        </w:rPr>
        <w:t>До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 xml:space="preserve"> </w:t>
      </w:r>
      <w:r w:rsidR="00601B64" w:rsidRPr="005D6CED">
        <w:rPr>
          <w:sz w:val="28"/>
          <w:szCs w:val="28"/>
        </w:rPr>
        <w:t>загального</w:t>
      </w:r>
      <w:r w:rsidR="00414F4F" w:rsidRPr="005D6CED">
        <w:rPr>
          <w:sz w:val="28"/>
          <w:szCs w:val="28"/>
        </w:rPr>
        <w:t xml:space="preserve"> </w:t>
      </w:r>
      <w:r w:rsidR="00601B64" w:rsidRPr="005D6CED">
        <w:rPr>
          <w:sz w:val="28"/>
          <w:szCs w:val="28"/>
        </w:rPr>
        <w:t xml:space="preserve"> фонду 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 xml:space="preserve">селищного 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>бюджету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 xml:space="preserve"> Тростянецької</w:t>
      </w:r>
      <w:r w:rsidR="00414F4F" w:rsidRPr="005D6CED">
        <w:rPr>
          <w:sz w:val="28"/>
          <w:szCs w:val="28"/>
        </w:rPr>
        <w:t xml:space="preserve">   </w:t>
      </w:r>
      <w:r w:rsidRPr="005D6CED">
        <w:rPr>
          <w:sz w:val="28"/>
          <w:szCs w:val="28"/>
        </w:rPr>
        <w:t>об’єднаної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>територіальної</w:t>
      </w:r>
      <w:r w:rsidR="00414F4F" w:rsidRPr="005D6CED">
        <w:rPr>
          <w:sz w:val="28"/>
          <w:szCs w:val="28"/>
        </w:rPr>
        <w:t xml:space="preserve">  </w:t>
      </w:r>
      <w:r w:rsidRPr="005D6CED">
        <w:rPr>
          <w:sz w:val="28"/>
          <w:szCs w:val="28"/>
        </w:rPr>
        <w:t>громади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>за січень</w:t>
      </w:r>
      <w:r w:rsidR="00CF5629" w:rsidRPr="005D6CED">
        <w:rPr>
          <w:sz w:val="28"/>
          <w:szCs w:val="28"/>
        </w:rPr>
        <w:t xml:space="preserve"> - </w:t>
      </w:r>
      <w:r w:rsidR="00EC795B" w:rsidRPr="005D6CED">
        <w:rPr>
          <w:sz w:val="28"/>
          <w:szCs w:val="28"/>
        </w:rPr>
        <w:t>травень</w:t>
      </w:r>
      <w:r w:rsidR="00601B64" w:rsidRPr="005D6CED">
        <w:rPr>
          <w:sz w:val="28"/>
          <w:szCs w:val="28"/>
        </w:rPr>
        <w:t xml:space="preserve"> 2020 року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>надійшло</w:t>
      </w:r>
      <w:r w:rsidR="00414F4F" w:rsidRPr="005D6CED">
        <w:rPr>
          <w:sz w:val="28"/>
          <w:szCs w:val="28"/>
        </w:rPr>
        <w:t xml:space="preserve"> </w:t>
      </w:r>
      <w:r w:rsidR="00EC795B" w:rsidRPr="005D6CED">
        <w:rPr>
          <w:sz w:val="28"/>
          <w:szCs w:val="28"/>
        </w:rPr>
        <w:t xml:space="preserve">24 293 </w:t>
      </w:r>
      <w:r w:rsidR="009C7491" w:rsidRPr="005D6CED">
        <w:rPr>
          <w:sz w:val="28"/>
          <w:szCs w:val="28"/>
        </w:rPr>
        <w:t xml:space="preserve">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>., в тому числі</w:t>
      </w:r>
      <w:r w:rsidR="00414F4F" w:rsidRPr="005D6CED">
        <w:rPr>
          <w:sz w:val="28"/>
          <w:szCs w:val="28"/>
        </w:rPr>
        <w:t xml:space="preserve"> </w:t>
      </w:r>
      <w:r w:rsidR="004A4DA7" w:rsidRPr="005D6CED">
        <w:rPr>
          <w:sz w:val="28"/>
          <w:szCs w:val="28"/>
        </w:rPr>
        <w:t>надходжень без врахування трансфертів з усіх рівнів бюджетів</w:t>
      </w:r>
      <w:r w:rsidR="00414F4F" w:rsidRPr="005D6CED">
        <w:rPr>
          <w:sz w:val="28"/>
          <w:szCs w:val="28"/>
        </w:rPr>
        <w:t xml:space="preserve"> </w:t>
      </w:r>
      <w:r w:rsidR="00EC795B" w:rsidRPr="005D6CED">
        <w:rPr>
          <w:sz w:val="28"/>
          <w:szCs w:val="28"/>
        </w:rPr>
        <w:t>16 320,4</w:t>
      </w:r>
      <w:r w:rsidR="00414F4F" w:rsidRPr="005D6CED">
        <w:rPr>
          <w:sz w:val="28"/>
          <w:szCs w:val="28"/>
        </w:rPr>
        <w:t xml:space="preserve">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>., що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>складає</w:t>
      </w:r>
      <w:r w:rsidR="00414F4F" w:rsidRPr="005D6CED">
        <w:rPr>
          <w:sz w:val="28"/>
          <w:szCs w:val="28"/>
        </w:rPr>
        <w:t xml:space="preserve"> </w:t>
      </w:r>
      <w:r w:rsidRPr="005D6CED">
        <w:rPr>
          <w:sz w:val="28"/>
          <w:szCs w:val="28"/>
        </w:rPr>
        <w:t>1</w:t>
      </w:r>
      <w:r w:rsidR="00CF5629" w:rsidRPr="005D6CED">
        <w:rPr>
          <w:sz w:val="28"/>
          <w:szCs w:val="28"/>
        </w:rPr>
        <w:t>0</w:t>
      </w:r>
      <w:r w:rsidR="009C7491" w:rsidRPr="005D6CED">
        <w:rPr>
          <w:sz w:val="28"/>
          <w:szCs w:val="28"/>
        </w:rPr>
        <w:t>0,</w:t>
      </w:r>
      <w:r w:rsidR="00893ED6" w:rsidRPr="005D6CED">
        <w:rPr>
          <w:sz w:val="28"/>
          <w:szCs w:val="28"/>
        </w:rPr>
        <w:t>3</w:t>
      </w:r>
      <w:r w:rsidRPr="005D6CED">
        <w:rPr>
          <w:sz w:val="28"/>
          <w:szCs w:val="28"/>
        </w:rPr>
        <w:t xml:space="preserve"> % до помісячного плану та </w:t>
      </w:r>
      <w:r w:rsidR="00EC795B" w:rsidRPr="005D6CED">
        <w:rPr>
          <w:sz w:val="28"/>
          <w:szCs w:val="28"/>
        </w:rPr>
        <w:t>36,2</w:t>
      </w:r>
      <w:r w:rsidR="00893ED6" w:rsidRPr="005D6CED">
        <w:rPr>
          <w:sz w:val="28"/>
          <w:szCs w:val="28"/>
        </w:rPr>
        <w:t>%</w:t>
      </w:r>
      <w:r w:rsidRPr="005D6CED">
        <w:rPr>
          <w:sz w:val="28"/>
          <w:szCs w:val="28"/>
        </w:rPr>
        <w:t xml:space="preserve"> до затвердженого плану на рік</w:t>
      </w:r>
      <w:r w:rsidR="00EC795B" w:rsidRPr="005D6CED">
        <w:rPr>
          <w:sz w:val="28"/>
          <w:szCs w:val="28"/>
        </w:rPr>
        <w:t xml:space="preserve">.  </w:t>
      </w:r>
    </w:p>
    <w:p w:rsidR="00EC795B" w:rsidRPr="005D6CED" w:rsidRDefault="00EC795B" w:rsidP="00A1277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6CED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</w:p>
    <w:p w:rsidR="00EC795B" w:rsidRPr="005D6CED" w:rsidRDefault="00EC795B" w:rsidP="00A1277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карантинних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Закону про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6C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6CE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 </w:t>
      </w:r>
      <w:r w:rsidR="0055677A" w:rsidRPr="005D6CED">
        <w:rPr>
          <w:rFonts w:ascii="Times New Roman" w:hAnsi="Times New Roman" w:cs="Times New Roman"/>
          <w:sz w:val="28"/>
          <w:szCs w:val="28"/>
          <w:lang w:val="uk-UA"/>
        </w:rPr>
        <w:t>негативно позначилися на фінансовій спроможності нашої громади.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Насамперед, це зниження темпів надходження доходів до бюджету громади. Так, порівняно з аналогічним періодом 2019 року надходження зменшились  на  1</w:t>
      </w:r>
      <w:r w:rsidR="0055677A" w:rsidRPr="005D6CED">
        <w:rPr>
          <w:rFonts w:ascii="Times New Roman" w:hAnsi="Times New Roman" w:cs="Times New Roman"/>
          <w:sz w:val="28"/>
          <w:szCs w:val="28"/>
          <w:lang w:val="uk-UA"/>
        </w:rPr>
        <w:t> 926,5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 або на 1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0,6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EC795B" w:rsidRPr="005D6CED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511,7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5D6CED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акцизний податок   на 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147,7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5D6CED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504,7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5D6CED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553,1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5D6CED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795B" w:rsidRPr="005D6CED" w:rsidRDefault="00EC795B" w:rsidP="00EC79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Крім того, станом на 01.0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.2020 року невиконання дохідної частини бюджету громади  до норми 1/12 становить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2 467,9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D46FBC" w:rsidRPr="005D6CED">
        <w:rPr>
          <w:rFonts w:ascii="Times New Roman" w:hAnsi="Times New Roman" w:cs="Times New Roman"/>
          <w:sz w:val="28"/>
          <w:szCs w:val="28"/>
          <w:lang w:val="uk-UA"/>
        </w:rPr>
        <w:t>5,5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895401" w:rsidRPr="005D6CED" w:rsidRDefault="00603F3F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у складі власних та закріплених доходів залишається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 w:rsidRPr="005D6CED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88308B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 w:rsidRPr="005D6C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308B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>травень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>9 114,2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5D6CE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D6CED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>.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>55,8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5D6CED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надходжень.</w:t>
      </w:r>
      <w:r w:rsidR="0088308B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Планові показники даного податку на 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D263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263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AD2639" w:rsidRPr="005D6CED">
        <w:rPr>
          <w:rFonts w:ascii="Times New Roman" w:hAnsi="Times New Roman" w:cs="Times New Roman"/>
          <w:sz w:val="28"/>
          <w:szCs w:val="28"/>
          <w:lang w:val="uk-UA"/>
        </w:rPr>
        <w:t>виконано на 100,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D263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%, понадпланово надійшло лише </w:t>
      </w:r>
      <w:r w:rsidR="0070436E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8,9 </w:t>
      </w:r>
      <w:proofErr w:type="spellStart"/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>. У зв’язку із припиненням</w:t>
      </w:r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(</w:t>
      </w:r>
      <w:proofErr w:type="spellStart"/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завод»)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зменшенням обсягів виробництва </w:t>
      </w:r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>(ТОВ ГРІН ТАУН ЛТД)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, скороченням чисельності працівників (КНП Тростянецька ЦРЛ, ГУС у Вінницькій області), переведення працівників на період дії карантину на оплату праці в розмірі 2/3 заробітної плати,</w:t>
      </w:r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зменшився фонд оплати праці і, як наслідок темп росту даного податку. В порівнянні з аналогічним періодом минулого року, надходження податку та збору з фізичних осіб зменшились на 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>511,7</w:t>
      </w:r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F06AD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2B98" w:rsidRPr="005D6CED" w:rsidRDefault="00895401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5D6CED">
        <w:rPr>
          <w:rFonts w:ascii="Times New Roman" w:hAnsi="Times New Roman" w:cs="Times New Roman"/>
          <w:sz w:val="28"/>
          <w:szCs w:val="28"/>
        </w:rPr>
        <w:t xml:space="preserve"> </w:t>
      </w:r>
      <w:r w:rsidR="00DF3DD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важливим джерелом надходжень доходів загального фонду є місцеві податки і збори, за </w:t>
      </w:r>
      <w:r w:rsidR="00AD2639" w:rsidRPr="005D6CED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452B98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5D6C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52B98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>травень</w:t>
      </w:r>
      <w:r w:rsidR="00DF3DD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</w:t>
      </w:r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одження склали 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>4 867,2</w:t>
      </w:r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0247F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DD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F41428" w:rsidRPr="005D6CED">
        <w:rPr>
          <w:rFonts w:ascii="Times New Roman" w:hAnsi="Times New Roman" w:cs="Times New Roman"/>
          <w:sz w:val="28"/>
          <w:szCs w:val="28"/>
          <w:lang w:val="uk-UA"/>
        </w:rPr>
        <w:t>29,8</w:t>
      </w:r>
      <w:r w:rsidR="00DF3DD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9E44D5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суми </w:t>
      </w:r>
      <w:r w:rsidR="00F41428" w:rsidRPr="005D6CED">
        <w:rPr>
          <w:rFonts w:ascii="Times New Roman" w:hAnsi="Times New Roman" w:cs="Times New Roman"/>
          <w:sz w:val="28"/>
          <w:szCs w:val="28"/>
          <w:lang w:val="uk-UA"/>
        </w:rPr>
        <w:t>власних надходжень</w:t>
      </w:r>
      <w:r w:rsidR="00DF3DD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D17FCC" w:rsidRPr="005D6CE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>067,5</w:t>
      </w:r>
      <w:r w:rsidR="00D17FC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7FCC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7FCC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30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Причинами зменшення надходжень є</w:t>
      </w:r>
      <w:r w:rsidR="00452B98" w:rsidRPr="005D6CE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2B98" w:rsidRPr="005D6CED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1D530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зниження ставки податку на нерухоме майно відмінне від земельної ділянки з 1% до 0,5%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B98" w:rsidRPr="005D6CED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17FCC" w:rsidRPr="005D6CED">
        <w:rPr>
          <w:rFonts w:ascii="Times New Roman" w:hAnsi="Times New Roman" w:cs="Times New Roman"/>
          <w:sz w:val="28"/>
          <w:szCs w:val="28"/>
          <w:lang w:val="uk-UA"/>
        </w:rPr>
        <w:t>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7FC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податку та орендної плати</w:t>
      </w:r>
      <w:r w:rsidR="009F202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, в результаті чого очікувані надходження до бюджету громади  у  2020 році зменшаться на 500 </w:t>
      </w:r>
      <w:proofErr w:type="spellStart"/>
      <w:r w:rsidR="009F2029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та у 2021 році на 60 </w:t>
      </w:r>
      <w:proofErr w:type="spellStart"/>
      <w:r w:rsidR="009F2029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5D6CED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763F5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EFE" w:rsidRPr="005D6CE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5D6CED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- заборгованість </w:t>
      </w:r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>зі сплати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земельно</w:t>
      </w:r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податку по платник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ам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0676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ПАТ «УКРЗАЛІЗНИЦЯ»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5D6CED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</w:t>
      </w:r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>доходів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платників єдиного податку 3 групи</w:t>
      </w:r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декларування (в порівняні з аналогічним періодом минулого року,  надходження зменшились на  </w:t>
      </w:r>
      <w:r w:rsidR="00EF0E25" w:rsidRPr="005D6CED">
        <w:rPr>
          <w:rFonts w:ascii="Times New Roman" w:hAnsi="Times New Roman" w:cs="Times New Roman"/>
          <w:sz w:val="28"/>
          <w:szCs w:val="28"/>
          <w:lang w:val="uk-UA"/>
        </w:rPr>
        <w:t>367,7</w:t>
      </w:r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6530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763F59" w:rsidRPr="005D6CED" w:rsidRDefault="00763F59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Значну частину надходжень (1</w:t>
      </w:r>
      <w:r w:rsidR="00452B98" w:rsidRPr="005D6CED">
        <w:rPr>
          <w:rFonts w:ascii="Times New Roman" w:hAnsi="Times New Roman" w:cs="Times New Roman"/>
          <w:sz w:val="28"/>
          <w:szCs w:val="28"/>
          <w:lang w:val="uk-UA"/>
        </w:rPr>
        <w:t>4,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 до загальної суми власних надходжень) складає податок на майно – це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2 350,5</w:t>
      </w:r>
      <w:r w:rsidR="00AA7B9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числі: податок на нерухоме майно, відмінне від земельної ділянки –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242,5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земельний податок –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2 095,5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транспортний податок – </w:t>
      </w:r>
      <w:r w:rsidR="00452B98" w:rsidRPr="005D6CED">
        <w:rPr>
          <w:rFonts w:ascii="Times New Roman" w:hAnsi="Times New Roman" w:cs="Times New Roman"/>
          <w:sz w:val="28"/>
          <w:szCs w:val="28"/>
          <w:lang w:val="uk-UA"/>
        </w:rPr>
        <w:t>12,5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Ваговим по обсягу є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2 514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або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15,4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  до загальної суми власних  надходжень.</w:t>
      </w:r>
      <w:r w:rsidR="005C3876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A147D6" w:rsidRPr="005D6CED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 w:rsidRPr="005D6CED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травень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5D6CE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 w:rsidRPr="005D6CE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 w:rsidRPr="005D6CED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1 918,3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452B98" w:rsidRPr="005D6CED">
        <w:rPr>
          <w:rFonts w:ascii="Times New Roman" w:hAnsi="Times New Roman" w:cs="Times New Roman"/>
          <w:sz w:val="28"/>
          <w:szCs w:val="28"/>
          <w:lang w:val="uk-UA"/>
        </w:rPr>
        <w:t>11,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376,5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1 243,4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298,4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4AC" w:rsidRPr="005D6CED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4A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річного декларування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(платник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78339C" w:rsidRPr="005D6CED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53,6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, що у 2 рази більше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="00447B50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річних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447B50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, сума перевиконання становить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28,8</w:t>
      </w:r>
      <w:r w:rsidR="00447B50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7B50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47B50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 w:rsidR="00017C9E" w:rsidRPr="005D6CED">
        <w:rPr>
          <w:rFonts w:ascii="Times New Roman" w:hAnsi="Times New Roman" w:cs="Times New Roman"/>
          <w:sz w:val="28"/>
          <w:szCs w:val="28"/>
          <w:lang w:val="uk-UA"/>
        </w:rPr>
        <w:t>26,7</w:t>
      </w:r>
      <w:r w:rsidR="00AA7B99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у І кварталі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2019 року 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="00B70721" w:rsidRPr="005D6CED">
        <w:rPr>
          <w:rFonts w:ascii="Times New Roman" w:hAnsi="Times New Roman" w:cs="Times New Roman"/>
          <w:sz w:val="28"/>
          <w:szCs w:val="28"/>
          <w:lang w:val="uk-UA"/>
        </w:rPr>
        <w:t>, яка надходила до районного бюджету.</w:t>
      </w:r>
    </w:p>
    <w:p w:rsidR="00D93C81" w:rsidRPr="005D6CED" w:rsidRDefault="009B22D5" w:rsidP="00D93C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 w:rsidRPr="005D6CED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у січні</w:t>
      </w:r>
      <w:r w:rsidR="00414F4F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5D6CE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072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>травні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A147D6" w:rsidRPr="005D6CED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 до усіх надходжень</w:t>
      </w:r>
      <w:r w:rsidR="00B7072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</w:t>
      </w:r>
      <w:r w:rsidR="009D77B7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>225,7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072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Причинами зниження надходжень є зменшення кількості наданих послуг</w:t>
      </w:r>
      <w:r w:rsidR="00B7072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та проведених реєстраційних дій в зв’</w:t>
      </w:r>
      <w:r w:rsidR="009D77B7" w:rsidRPr="005D6CED">
        <w:rPr>
          <w:rFonts w:ascii="Times New Roman" w:hAnsi="Times New Roman" w:cs="Times New Roman"/>
          <w:sz w:val="28"/>
          <w:szCs w:val="28"/>
          <w:lang w:val="uk-UA"/>
        </w:rPr>
        <w:t>язку із карантинними заходами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77B7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Основну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частину неподаткових надходжень 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0721" w:rsidRPr="005D6CED">
        <w:rPr>
          <w:rFonts w:ascii="Times New Roman" w:hAnsi="Times New Roman" w:cs="Times New Roman"/>
          <w:sz w:val="28"/>
          <w:szCs w:val="28"/>
          <w:lang w:val="uk-UA"/>
        </w:rPr>
        <w:t>а надання інших адміністративних послуг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64BFC" w:rsidRPr="005D6CED">
        <w:rPr>
          <w:rFonts w:ascii="Times New Roman" w:hAnsi="Times New Roman" w:cs="Times New Roman"/>
          <w:sz w:val="28"/>
          <w:szCs w:val="28"/>
          <w:lang w:val="uk-UA"/>
        </w:rPr>
        <w:t>322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30,7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% до затверджених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річних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ержавн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мит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а за звітний період надійшло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8,8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штраф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ів та інших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CA01DD" w:rsidRPr="005D6CE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,4</w:t>
      </w:r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, інші надходження –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33,8</w:t>
      </w:r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93C81"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5EC" w:rsidRPr="005D6CED" w:rsidRDefault="00A475EC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Крім власних надходжень податків і зборів, до загального фонду бюджету громади  за звітний період отримано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7 972,6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5E50AF" w:rsidRPr="005D6CED" w:rsidRDefault="00054BD8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надійшло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662,5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тис.грн., в тому числі податкові і неподаткові надходження –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532,9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доходи від операцій з капіталом – 86,1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цільові фонди – </w:t>
      </w:r>
      <w:r w:rsidR="005D5DF7" w:rsidRPr="005D6CED">
        <w:rPr>
          <w:rFonts w:ascii="Times New Roman" w:hAnsi="Times New Roman" w:cs="Times New Roman"/>
          <w:sz w:val="28"/>
          <w:szCs w:val="28"/>
          <w:lang w:val="uk-UA"/>
        </w:rPr>
        <w:t>43,5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C41"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3FCE" w:rsidRPr="005D6CED" w:rsidRDefault="002F3FCE" w:rsidP="002F3F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5D6CED">
        <w:rPr>
          <w:sz w:val="28"/>
          <w:szCs w:val="28"/>
        </w:rPr>
        <w:t xml:space="preserve">В умовах спаду економіки та повільного наповнення селищного бюджету громади з початку року забезпечено фінансування бюджетних установ та місцевих програм. Так, за 5 місяців 2020 року проведено касових видатків на загальну суму 23 906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>., в тому числі на соціально-культурну сферу – 13 162,8 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 xml:space="preserve">., житлово-комунальне господарство – 2 913,7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 xml:space="preserve">., трансферти до інших бюджетів – 2 559,2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 xml:space="preserve">., державне управління – 3 006,9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 xml:space="preserve">., дорожнє господарство – 704,6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 xml:space="preserve">., проведено капітальних видатків на суму 1 558,8 </w:t>
      </w:r>
      <w:proofErr w:type="spellStart"/>
      <w:r w:rsidRPr="005D6CED">
        <w:rPr>
          <w:sz w:val="28"/>
          <w:szCs w:val="28"/>
        </w:rPr>
        <w:t>тис.грн</w:t>
      </w:r>
      <w:proofErr w:type="spellEnd"/>
      <w:r w:rsidRPr="005D6CED">
        <w:rPr>
          <w:sz w:val="28"/>
          <w:szCs w:val="28"/>
        </w:rPr>
        <w:t>.</w:t>
      </w:r>
    </w:p>
    <w:p w:rsidR="002F3FCE" w:rsidRPr="005D6CED" w:rsidRDefault="002F3FCE" w:rsidP="002F3FC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6CED">
        <w:rPr>
          <w:sz w:val="28"/>
          <w:szCs w:val="28"/>
        </w:rPr>
        <w:t>Джерелами фінансування цих видатків є кошти бюджету громади, власні надходження бюджетних установ, а також дотації та субвенції із Державного, обласного та районного бюджетів.</w:t>
      </w:r>
    </w:p>
    <w:p w:rsidR="001A4870" w:rsidRPr="005D6CED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45E0" w:rsidRPr="005D6CED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548C" w:rsidRPr="005D6CED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B469E6" w:rsidRDefault="00B469E6" w:rsidP="00B469E6">
      <w:pPr>
        <w:pStyle w:val="a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69E6">
        <w:rPr>
          <w:rFonts w:ascii="Times New Roman" w:hAnsi="Times New Roman" w:cs="Times New Roman"/>
          <w:i/>
          <w:sz w:val="28"/>
          <w:szCs w:val="28"/>
          <w:lang w:val="uk-UA"/>
        </w:rPr>
        <w:t>Управління фінансів Тростянецької селищної ради</w:t>
      </w:r>
    </w:p>
    <w:p w:rsidR="00B469E6" w:rsidRPr="00B469E6" w:rsidRDefault="00B469E6">
      <w:pPr>
        <w:pStyle w:val="a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B469E6" w:rsidRPr="00B469E6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34FE1"/>
    <w:rsid w:val="00054BD8"/>
    <w:rsid w:val="000678E5"/>
    <w:rsid w:val="000E0B18"/>
    <w:rsid w:val="000F39BB"/>
    <w:rsid w:val="00126A62"/>
    <w:rsid w:val="001A139F"/>
    <w:rsid w:val="001A4870"/>
    <w:rsid w:val="001B3BC9"/>
    <w:rsid w:val="001B3D70"/>
    <w:rsid w:val="001D530C"/>
    <w:rsid w:val="002102B4"/>
    <w:rsid w:val="00216F5D"/>
    <w:rsid w:val="00225FDD"/>
    <w:rsid w:val="0025018B"/>
    <w:rsid w:val="0029089F"/>
    <w:rsid w:val="002B3C41"/>
    <w:rsid w:val="002F3FCE"/>
    <w:rsid w:val="00305426"/>
    <w:rsid w:val="003156D6"/>
    <w:rsid w:val="00323836"/>
    <w:rsid w:val="00346784"/>
    <w:rsid w:val="00375D6C"/>
    <w:rsid w:val="003B3541"/>
    <w:rsid w:val="003B380A"/>
    <w:rsid w:val="003B43EE"/>
    <w:rsid w:val="00400F62"/>
    <w:rsid w:val="004053A7"/>
    <w:rsid w:val="00414F4F"/>
    <w:rsid w:val="00447B50"/>
    <w:rsid w:val="00452B98"/>
    <w:rsid w:val="00496614"/>
    <w:rsid w:val="004A4DA7"/>
    <w:rsid w:val="004A5DCD"/>
    <w:rsid w:val="004D2077"/>
    <w:rsid w:val="00502BF7"/>
    <w:rsid w:val="00512C1E"/>
    <w:rsid w:val="00540540"/>
    <w:rsid w:val="0055677A"/>
    <w:rsid w:val="00564FD3"/>
    <w:rsid w:val="005714AC"/>
    <w:rsid w:val="005C3876"/>
    <w:rsid w:val="005D5DF7"/>
    <w:rsid w:val="005D6CED"/>
    <w:rsid w:val="005E50AF"/>
    <w:rsid w:val="005F0FE8"/>
    <w:rsid w:val="00601B64"/>
    <w:rsid w:val="0060247F"/>
    <w:rsid w:val="00603F3F"/>
    <w:rsid w:val="00607C77"/>
    <w:rsid w:val="006130EA"/>
    <w:rsid w:val="00624B6A"/>
    <w:rsid w:val="0067546C"/>
    <w:rsid w:val="00690951"/>
    <w:rsid w:val="006C659B"/>
    <w:rsid w:val="0070436E"/>
    <w:rsid w:val="00731DC4"/>
    <w:rsid w:val="0075654E"/>
    <w:rsid w:val="007623AB"/>
    <w:rsid w:val="00763F59"/>
    <w:rsid w:val="0076548C"/>
    <w:rsid w:val="007658DB"/>
    <w:rsid w:val="0078339C"/>
    <w:rsid w:val="007D2A0A"/>
    <w:rsid w:val="007F4D5E"/>
    <w:rsid w:val="007F7EAB"/>
    <w:rsid w:val="008322DB"/>
    <w:rsid w:val="0088308B"/>
    <w:rsid w:val="00885663"/>
    <w:rsid w:val="00886B6D"/>
    <w:rsid w:val="00893ED6"/>
    <w:rsid w:val="00895401"/>
    <w:rsid w:val="008C230F"/>
    <w:rsid w:val="008F0DAB"/>
    <w:rsid w:val="009338D7"/>
    <w:rsid w:val="00944743"/>
    <w:rsid w:val="00945477"/>
    <w:rsid w:val="009B22D5"/>
    <w:rsid w:val="009C7491"/>
    <w:rsid w:val="009D77B7"/>
    <w:rsid w:val="009E44D5"/>
    <w:rsid w:val="009E7538"/>
    <w:rsid w:val="009F2029"/>
    <w:rsid w:val="00A12771"/>
    <w:rsid w:val="00A147D6"/>
    <w:rsid w:val="00A475EC"/>
    <w:rsid w:val="00A60B81"/>
    <w:rsid w:val="00A95B86"/>
    <w:rsid w:val="00AA6F83"/>
    <w:rsid w:val="00AA7B99"/>
    <w:rsid w:val="00AD2639"/>
    <w:rsid w:val="00AF6AE3"/>
    <w:rsid w:val="00B469E6"/>
    <w:rsid w:val="00B5570F"/>
    <w:rsid w:val="00B70721"/>
    <w:rsid w:val="00B94B40"/>
    <w:rsid w:val="00BE106B"/>
    <w:rsid w:val="00BE70C0"/>
    <w:rsid w:val="00C12881"/>
    <w:rsid w:val="00C45115"/>
    <w:rsid w:val="00C5137A"/>
    <w:rsid w:val="00C545E0"/>
    <w:rsid w:val="00CA01DD"/>
    <w:rsid w:val="00CE0676"/>
    <w:rsid w:val="00CF5629"/>
    <w:rsid w:val="00D17BEB"/>
    <w:rsid w:val="00D17FCC"/>
    <w:rsid w:val="00D369B7"/>
    <w:rsid w:val="00D36EFE"/>
    <w:rsid w:val="00D46FBC"/>
    <w:rsid w:val="00D723E1"/>
    <w:rsid w:val="00D93C81"/>
    <w:rsid w:val="00DD242A"/>
    <w:rsid w:val="00DD4EE8"/>
    <w:rsid w:val="00DF3DDF"/>
    <w:rsid w:val="00E10727"/>
    <w:rsid w:val="00E1172E"/>
    <w:rsid w:val="00E14591"/>
    <w:rsid w:val="00E16530"/>
    <w:rsid w:val="00E40478"/>
    <w:rsid w:val="00E4622F"/>
    <w:rsid w:val="00E550B9"/>
    <w:rsid w:val="00E64BFC"/>
    <w:rsid w:val="00E81F2E"/>
    <w:rsid w:val="00EC795B"/>
    <w:rsid w:val="00EF06AD"/>
    <w:rsid w:val="00EF0B48"/>
    <w:rsid w:val="00EF0E25"/>
    <w:rsid w:val="00EF2AE0"/>
    <w:rsid w:val="00F25C4B"/>
    <w:rsid w:val="00F41428"/>
    <w:rsid w:val="00F61690"/>
    <w:rsid w:val="00F65004"/>
    <w:rsid w:val="00F83B62"/>
    <w:rsid w:val="00F908C8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semiHidden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4400</Words>
  <Characters>2509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7</cp:revision>
  <cp:lastPrinted>2020-05-06T08:49:00Z</cp:lastPrinted>
  <dcterms:created xsi:type="dcterms:W3CDTF">2020-06-02T05:57:00Z</dcterms:created>
  <dcterms:modified xsi:type="dcterms:W3CDTF">2020-06-03T12:13:00Z</dcterms:modified>
</cp:coreProperties>
</file>