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3F07A8">
        <w:trPr>
          <w:trHeight w:hRule="exact" w:val="4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1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6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6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F07A8" w:rsidRDefault="00B8488D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6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( 0611090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( 0960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F07A8" w:rsidRDefault="00B8488D">
            <w:pPr>
              <w:ind w:left="60"/>
              <w:jc w:val="both"/>
            </w:pPr>
            <w:proofErr w:type="spellStart"/>
            <w:r>
              <w:rPr>
                <w:sz w:val="24"/>
              </w:rPr>
              <w:t>Надання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позашкільної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позашкільними</w:t>
            </w:r>
            <w:proofErr w:type="spellEnd"/>
            <w:r>
              <w:rPr>
                <w:sz w:val="24"/>
              </w:rPr>
              <w:t xml:space="preserve"> закладами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заходи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позашкільної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дітьми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4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roofErr w:type="spellStart"/>
            <w:r>
              <w:t>Задоволення</w:t>
            </w:r>
            <w:proofErr w:type="spellEnd"/>
            <w:r>
              <w:t xml:space="preserve"> потреб </w:t>
            </w:r>
            <w:proofErr w:type="spellStart"/>
            <w:r>
              <w:t>дівчат</w:t>
            </w:r>
            <w:proofErr w:type="spellEnd"/>
            <w:r>
              <w:t xml:space="preserve"> і </w:t>
            </w:r>
            <w:proofErr w:type="spellStart"/>
            <w:r>
              <w:t>хлопців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позашкільної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з </w:t>
            </w:r>
            <w:proofErr w:type="spellStart"/>
            <w:r>
              <w:t>урахуванням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ві</w:t>
            </w:r>
            <w:proofErr w:type="gramStart"/>
            <w:r>
              <w:t>ку</w:t>
            </w:r>
            <w:proofErr w:type="spellEnd"/>
            <w:r>
              <w:t xml:space="preserve"> та</w:t>
            </w:r>
            <w:proofErr w:type="gram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івні</w:t>
            </w:r>
            <w:proofErr w:type="spellEnd"/>
            <w:r>
              <w:t xml:space="preserve"> </w:t>
            </w:r>
            <w:proofErr w:type="spellStart"/>
            <w:r>
              <w:t>можливості</w:t>
            </w:r>
            <w:proofErr w:type="spellEnd"/>
            <w:r>
              <w:t xml:space="preserve"> </w:t>
            </w:r>
            <w:proofErr w:type="spellStart"/>
            <w:r>
              <w:t>дівчатам</w:t>
            </w:r>
            <w:proofErr w:type="spellEnd"/>
            <w:r>
              <w:t xml:space="preserve"> та </w:t>
            </w:r>
            <w:proofErr w:type="spellStart"/>
            <w:r>
              <w:t>хлопцям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позашкільної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івні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можливості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дівчатам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хлопцям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отримання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-50471,00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-50471,00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-50471,00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right="60"/>
              <w:jc w:val="right"/>
            </w:pPr>
            <w:r>
              <w:rPr>
                <w:b/>
                <w:sz w:val="16"/>
              </w:rPr>
              <w:t>-50471,00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400"/>
        </w:trPr>
        <w:tc>
          <w:tcPr>
            <w:tcW w:w="400" w:type="dxa"/>
          </w:tcPr>
          <w:p w:rsidR="003F07A8" w:rsidRDefault="003F07A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4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44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3F07A8">
            <w:pPr>
              <w:ind w:right="60"/>
              <w:jc w:val="right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8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(за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напрямами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гуртків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розташування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6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інперсоналу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умовами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віднесених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-5,50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-5,50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звязку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зміною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юридичної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фактичної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адреси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зменшено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ставок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1564841,00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1514370,00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-50471,00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-50471,00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гуртків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напрямами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план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хлопців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дівчат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  <w:proofErr w:type="gramStart"/>
            <w:r>
              <w:rPr>
                <w:rFonts w:ascii="Arial" w:eastAsia="Arial" w:hAnsi="Arial" w:cs="Arial"/>
                <w:sz w:val="14"/>
              </w:rPr>
              <w:t xml:space="preserve"> ,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отримують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415,00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415,00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415,00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415,00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3F07A8">
            <w:pPr>
              <w:jc w:val="center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20864,54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20864,54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20191,60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20191,60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-672,94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-672,94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..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5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хлопця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дівчину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напрямами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гуртків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3770,70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3770,70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3649,00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3649,00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-121,70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ind w:right="60"/>
              <w:jc w:val="right"/>
            </w:pPr>
            <w:r>
              <w:rPr>
                <w:sz w:val="16"/>
              </w:rPr>
              <w:t>-121,70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F07A8" w:rsidRDefault="00B848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400"/>
        </w:trPr>
        <w:tc>
          <w:tcPr>
            <w:tcW w:w="400" w:type="dxa"/>
          </w:tcPr>
          <w:p w:rsidR="003F07A8" w:rsidRDefault="003F07A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B8488D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4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07A8" w:rsidRDefault="003F07A8"/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20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6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11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07A8" w:rsidRDefault="00B8488D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4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Pr="00284C83" w:rsidRDefault="00284C83">
            <w:pPr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Шерстюк</w:t>
            </w:r>
            <w:bookmarkStart w:id="0" w:name="_GoBack"/>
            <w:bookmarkEnd w:id="0"/>
            <w:proofErr w:type="spell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1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32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  <w:tr w:rsidR="003F07A8">
        <w:trPr>
          <w:trHeight w:hRule="exact" w:val="140"/>
        </w:trPr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7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3F07A8" w:rsidRDefault="003F07A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07A8" w:rsidRDefault="00B848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3F07A8" w:rsidRDefault="003F07A8">
            <w:pPr>
              <w:pStyle w:val="EMPTYCELLSTYLE"/>
            </w:pPr>
          </w:p>
        </w:tc>
        <w:tc>
          <w:tcPr>
            <w:tcW w:w="400" w:type="dxa"/>
          </w:tcPr>
          <w:p w:rsidR="003F07A8" w:rsidRDefault="003F07A8">
            <w:pPr>
              <w:pStyle w:val="EMPTYCELLSTYLE"/>
            </w:pPr>
          </w:p>
        </w:tc>
      </w:tr>
    </w:tbl>
    <w:p w:rsidR="00B8488D" w:rsidRDefault="00B8488D"/>
    <w:sectPr w:rsidR="00B8488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A8"/>
    <w:rsid w:val="00284C83"/>
    <w:rsid w:val="003F07A8"/>
    <w:rsid w:val="004A2445"/>
    <w:rsid w:val="00B8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2020-03-16T07:25:00Z</cp:lastPrinted>
  <dcterms:created xsi:type="dcterms:W3CDTF">2020-03-16T07:21:00Z</dcterms:created>
  <dcterms:modified xsi:type="dcterms:W3CDTF">2020-03-16T07:26:00Z</dcterms:modified>
</cp:coreProperties>
</file>