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11" w:rsidRPr="00733C29" w:rsidRDefault="00E75011" w:rsidP="00E75011">
      <w:pPr>
        <w:jc w:val="center"/>
        <w:rPr>
          <w:sz w:val="28"/>
          <w:szCs w:val="28"/>
        </w:rPr>
      </w:pPr>
      <w:bookmarkStart w:id="0" w:name="_GoBack"/>
      <w:r w:rsidRPr="00733C29">
        <w:rPr>
          <w:sz w:val="28"/>
          <w:szCs w:val="28"/>
        </w:rPr>
        <w:t xml:space="preserve">Перелік адміністративних послуг, </w:t>
      </w:r>
    </w:p>
    <w:p w:rsidR="00E75011" w:rsidRDefault="00E75011" w:rsidP="00E75011">
      <w:pPr>
        <w:jc w:val="center"/>
        <w:rPr>
          <w:sz w:val="28"/>
          <w:szCs w:val="28"/>
        </w:rPr>
      </w:pPr>
      <w:r w:rsidRPr="00733C29">
        <w:rPr>
          <w:sz w:val="28"/>
          <w:szCs w:val="28"/>
        </w:rPr>
        <w:t xml:space="preserve">які надаються через Центр надання адміністративних послуг </w:t>
      </w:r>
    </w:p>
    <w:p w:rsidR="00E75011" w:rsidRDefault="00E75011" w:rsidP="00E75011">
      <w:pPr>
        <w:jc w:val="center"/>
        <w:rPr>
          <w:sz w:val="28"/>
          <w:szCs w:val="28"/>
        </w:rPr>
      </w:pPr>
      <w:r w:rsidRPr="00733C29">
        <w:rPr>
          <w:sz w:val="28"/>
          <w:szCs w:val="28"/>
        </w:rPr>
        <w:t>Тростянецької селищної ради</w:t>
      </w:r>
    </w:p>
    <w:bookmarkEnd w:id="0"/>
    <w:p w:rsidR="00E75011" w:rsidRPr="00733C29" w:rsidRDefault="00E75011" w:rsidP="00E75011">
      <w:pPr>
        <w:jc w:val="center"/>
        <w:rPr>
          <w:sz w:val="28"/>
          <w:szCs w:val="28"/>
        </w:rPr>
      </w:pPr>
    </w:p>
    <w:tbl>
      <w:tblPr>
        <w:tblW w:w="1000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386"/>
        <w:gridCol w:w="3969"/>
      </w:tblGrid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t>Назва адміністративної послуги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line="25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E75011" w:rsidRPr="00733C29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line="25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РЕЄСТРАЦІЯ / ЗНЯТТЯ З РЕЄСТРАЦІЇ МЕШКАНЦІВ</w:t>
            </w:r>
          </w:p>
        </w:tc>
      </w:tr>
      <w:tr w:rsidR="00E75011" w:rsidRPr="00733C29" w:rsidTr="001C248D">
        <w:trPr>
          <w:trHeight w:val="3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Реєстрація місця проживання особи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spacing w:after="160" w:line="25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Зняття з реєстрації місця проживання особи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реєстрацію місця проживання особи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зняття з реєстрації місця проживання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Реєстрація місця перебування особи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spacing w:line="25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РЕЄСТРАЦІЯ НЕРУХОМОСТІ</w:t>
            </w:r>
          </w:p>
        </w:tc>
      </w:tr>
      <w:tr w:rsidR="00E75011" w:rsidRPr="00733C29" w:rsidTr="001C248D">
        <w:trPr>
          <w:trHeight w:val="5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права власності на нерухоме майно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spacing w:after="160" w:line="25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6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5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Взяття на облік безхазяйного нерухомого майна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5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обтяжень нерухомого майна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5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4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Скасування рішення державного реєстратора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Default="00E75011" w:rsidP="001C248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E75011" w:rsidRDefault="00E75011" w:rsidP="001C248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E75011" w:rsidRPr="00733C29" w:rsidRDefault="00E75011" w:rsidP="001C248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t>РЕЄСТРАЦІЯ БІЗНЕСУ</w:t>
            </w:r>
          </w:p>
        </w:tc>
      </w:tr>
      <w:tr w:rsidR="00E75011" w:rsidRPr="00733C29" w:rsidTr="001C248D">
        <w:trPr>
          <w:trHeight w:val="4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юридичної особи (у тому числі громадського формування)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E75011" w:rsidRPr="00733C29" w:rsidTr="001C248D">
        <w:trPr>
          <w:trHeight w:val="5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5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5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осіб-підприємців та громадських формувань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рішення про припинення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рішення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Державна реєстрація переходу юридичної особи на діяльність на підставі модельного статуту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переходу юридичної особи з модельного статуту на діяльність на підставі власного установчого документа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Державна реєстрація припинення юридичної особи (у тому числі громадського формування) в результаті її реорганізації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фізичної особи - підприємця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припинення підприємницької діяльності фізичної особи — підприємця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осіб- підприємців та громадських формувань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Державна реєстрація включення відомостей про фізичну особу-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Виправлення помилок у відомостях Єдиного державного реєстру юридичних осіб та фізичних осіб-підприємців та громадських формувань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rPr>
          <w:trHeight w:val="3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Надання відомостей з Єдиного державного реєстру юридичних осіб, фізичних осіб —підприємців та </w:t>
            </w:r>
            <w:r w:rsidRPr="00733C29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громадських формувань (виписка з Єдиного державного реєстру юридичних осіб, фізичних осіб — підприємців та громадських формувань у паперовій формі для проставляння </w:t>
            </w:r>
            <w:proofErr w:type="spellStart"/>
            <w:r w:rsidRPr="00733C29">
              <w:rPr>
                <w:rFonts w:eastAsia="Calibri"/>
                <w:sz w:val="22"/>
                <w:szCs w:val="22"/>
                <w:lang w:eastAsia="en-US"/>
              </w:rPr>
              <w:t>апостиля</w:t>
            </w:r>
            <w:proofErr w:type="spellEnd"/>
            <w:r w:rsidRPr="00733C29">
              <w:rPr>
                <w:rFonts w:eastAsia="Calibri"/>
                <w:sz w:val="22"/>
                <w:szCs w:val="22"/>
                <w:lang w:eastAsia="en-US"/>
              </w:rPr>
              <w:t>, витяг з Єдиного державного реєстру юридичних осіб, фізичних осіб —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— підприємця)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ЗЕМЕЛЬНІ ПИТАННЯ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left="706" w:hanging="679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відомостей з Державного земельного кадастру у формі: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2"/>
              </w:numPr>
              <w:ind w:left="283" w:hanging="283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sz w:val="22"/>
                <w:szCs w:val="22"/>
              </w:rPr>
              <w:t>витягу з Державного земельного кадастру про: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286" w:hanging="286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землі в межах територій адміністративно-територіальних одиниць;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286" w:hanging="286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обмеження у використанні земель;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286" w:hanging="286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земельну ділянку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2"/>
              </w:numPr>
              <w:ind w:left="283" w:hanging="283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 xml:space="preserve">довідки, що містить узагальнену інформацію про землі (території) 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2"/>
              </w:numPr>
              <w:ind w:left="283" w:hanging="283"/>
              <w:rPr>
                <w:sz w:val="22"/>
                <w:szCs w:val="22"/>
              </w:rPr>
            </w:pPr>
            <w:proofErr w:type="spellStart"/>
            <w:r w:rsidRPr="00733C29">
              <w:rPr>
                <w:sz w:val="22"/>
                <w:szCs w:val="22"/>
              </w:rPr>
              <w:t>викопіювань</w:t>
            </w:r>
            <w:proofErr w:type="spellEnd"/>
            <w:r w:rsidRPr="00733C29">
              <w:rPr>
                <w:sz w:val="22"/>
                <w:szCs w:val="22"/>
              </w:rPr>
              <w:t xml:space="preserve"> з картографічної основи Державного земельного кадастру, кадастрової карти (плану)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2"/>
              </w:numPr>
              <w:ind w:left="283" w:hanging="283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копій документів, що створюються під час ведення Державного земельного кадастру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Державний земельний кадастр»</w:t>
            </w:r>
          </w:p>
        </w:tc>
      </w:tr>
      <w:tr w:rsidR="00E75011" w:rsidRPr="00733C29" w:rsidTr="001C248D">
        <w:trPr>
          <w:trHeight w:val="7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Державна реєстрація земельної ділянки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 з Державного земельного кадастру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733C29" w:rsidRDefault="00E75011" w:rsidP="001C248D">
            <w:pPr>
              <w:pStyle w:val="a5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>Закон України “Про Державний земельний кадастр”</w:t>
            </w:r>
          </w:p>
          <w:p w:rsidR="00E75011" w:rsidRPr="00733C29" w:rsidRDefault="00E75011" w:rsidP="001C248D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6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(змін до них) про земельну ділянку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2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10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Державна реєстрація обмежень у використанні земель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10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10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FFFFFF"/>
            <w:hideMark/>
          </w:tcPr>
          <w:p w:rsidR="00E75011" w:rsidRPr="00733C29" w:rsidRDefault="00E75011" w:rsidP="001C248D">
            <w:pPr>
              <w:pStyle w:val="a5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C29">
              <w:rPr>
                <w:rFonts w:ascii="Times New Roman" w:hAnsi="Times New Roman"/>
                <w:sz w:val="22"/>
                <w:szCs w:val="22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</w:t>
            </w:r>
            <w:proofErr w:type="spellStart"/>
            <w:r w:rsidRPr="00733C29">
              <w:rPr>
                <w:rFonts w:ascii="Times New Roman" w:hAnsi="Times New Roman"/>
                <w:sz w:val="22"/>
                <w:szCs w:val="22"/>
              </w:rPr>
              <w:t>видачею</w:t>
            </w:r>
            <w:proofErr w:type="spellEnd"/>
            <w:r w:rsidRPr="00733C29">
              <w:rPr>
                <w:rFonts w:ascii="Times New Roman" w:hAnsi="Times New Roman"/>
                <w:sz w:val="22"/>
                <w:szCs w:val="22"/>
              </w:rPr>
              <w:t xml:space="preserve"> витягу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733C29" w:rsidRDefault="00E75011" w:rsidP="001C248D">
            <w:pPr>
              <w:rPr>
                <w:sz w:val="22"/>
                <w:szCs w:val="22"/>
                <w:lang w:val="ru-RU"/>
              </w:rPr>
            </w:pPr>
          </w:p>
        </w:tc>
      </w:tr>
      <w:tr w:rsidR="00E75011" w:rsidRPr="00733C29" w:rsidTr="001C248D">
        <w:trPr>
          <w:trHeight w:val="10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державний земельний кадастр»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Видача рішення </w:t>
            </w:r>
            <w:proofErr w:type="spellStart"/>
            <w:r w:rsidRPr="00733C29">
              <w:rPr>
                <w:rFonts w:eastAsia="Calibri"/>
                <w:sz w:val="22"/>
                <w:szCs w:val="22"/>
                <w:lang w:eastAsia="en-US"/>
              </w:rPr>
              <w:t>пропродаж</w:t>
            </w:r>
            <w:proofErr w:type="spellEnd"/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 земельних ділянок комунальної власності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highlight w:val="cyan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Пошук, перегляд, копіювання та роздрукування відомостей з Державного земельного кадастру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sz w:val="22"/>
                <w:szCs w:val="22"/>
              </w:rPr>
              <w:lastRenderedPageBreak/>
              <w:t>межі адміністративно-територіальних одиниць;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кадастрові номери земельних ділянок;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межі земельних ділянок;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цільове призначення земельних ділянок;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розподіл земель між власниками і користувачами (форма власності, вид речового права);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обмеження у використанні земель та земельних ділянок;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зведені дані кількісного та якісного обліку земель 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7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нормативно-грошову оцінку земель та земельних ділянок;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земельні угіддя;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частини земельної ділянки, на які поширюється дія сервітуту, договору суборенди земельної ділянки;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координати поворотних точок меж об’єктів кадастру;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бонітування ґрунтів;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3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  <w:shd w:val="clear" w:color="auto" w:fill="FFFFFF"/>
              </w:rPr>
              <w:t>інші відомості про земельні ділянки.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lastRenderedPageBreak/>
              <w:t>Закон України «Про державний земельний кадастр»</w:t>
            </w:r>
          </w:p>
        </w:tc>
      </w:tr>
      <w:tr w:rsidR="00E75011" w:rsidRPr="00733C29" w:rsidTr="001C248D">
        <w:trPr>
          <w:trHeight w:val="21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Прийняття рішення про: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4"/>
              </w:numPr>
              <w:ind w:left="172" w:hanging="172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sz w:val="22"/>
                <w:szCs w:val="22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</w:p>
          <w:p w:rsidR="00E75011" w:rsidRPr="00733C29" w:rsidRDefault="00E75011" w:rsidP="00E75011">
            <w:pPr>
              <w:pStyle w:val="a3"/>
              <w:numPr>
                <w:ilvl w:val="0"/>
                <w:numId w:val="4"/>
              </w:numPr>
              <w:ind w:left="172" w:hanging="17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 xml:space="preserve">припинення права постійного користування земельною ділянкою у разі добровільної відмови землекористувача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ind w:firstLine="7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землеустрій»</w:t>
            </w:r>
          </w:p>
        </w:tc>
      </w:tr>
      <w:tr w:rsidR="00E75011" w:rsidRPr="00733C29" w:rsidTr="001C248D">
        <w:trPr>
          <w:trHeight w:val="13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Затвердження технічної документації: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172" w:hanging="142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sz w:val="22"/>
                <w:szCs w:val="22"/>
              </w:rPr>
              <w:t xml:space="preserve">з нормативної грошової оцінки земельної ділянки у межах населених пунктів 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 бонітування ґрунтів</w:t>
            </w:r>
          </w:p>
          <w:p w:rsidR="00E75011" w:rsidRPr="00733C29" w:rsidRDefault="00E75011" w:rsidP="00E75011">
            <w:pPr>
              <w:pStyle w:val="a3"/>
              <w:numPr>
                <w:ilvl w:val="1"/>
                <w:numId w:val="2"/>
              </w:numPr>
              <w:ind w:left="172" w:hanging="142"/>
              <w:rPr>
                <w:sz w:val="22"/>
                <w:szCs w:val="22"/>
              </w:rPr>
            </w:pPr>
            <w:r w:rsidRPr="00733C29">
              <w:rPr>
                <w:sz w:val="22"/>
                <w:szCs w:val="22"/>
              </w:rPr>
              <w:t>з економічної оцінки земель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оцінку земель»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Продаж земельної ділянки комунальної власності (за зверненням особи)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6" w:history="1">
              <w:r w:rsidRPr="00733C29">
                <w:rPr>
                  <w:rStyle w:val="a4"/>
                  <w:rFonts w:eastAsia="Calibri"/>
                  <w:sz w:val="22"/>
                  <w:szCs w:val="22"/>
                  <w:lang w:eastAsia="en-US"/>
                </w:rPr>
                <w:t xml:space="preserve">Закон України «Про місцеве самоврядування в Україні» </w:t>
              </w:r>
            </w:hyperlink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7" w:history="1">
              <w:r w:rsidRPr="00733C29">
                <w:rPr>
                  <w:rStyle w:val="a4"/>
                  <w:rFonts w:eastAsia="Calibri"/>
                  <w:sz w:val="22"/>
                  <w:szCs w:val="22"/>
                  <w:lang w:eastAsia="en-US"/>
                </w:rPr>
                <w:t>Земельний кодекс України</w:t>
              </w:r>
            </w:hyperlink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hyperlink r:id="rId8" w:history="1">
              <w:r w:rsidRPr="00733C29">
                <w:rPr>
                  <w:rStyle w:val="a4"/>
                  <w:rFonts w:eastAsia="Calibri"/>
                  <w:sz w:val="22"/>
                  <w:szCs w:val="22"/>
                  <w:lang w:eastAsia="en-US"/>
                </w:rPr>
                <w:t>Закон України «Про землеустрій»</w:t>
              </w:r>
            </w:hyperlink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highlight w:val="red"/>
                <w:lang w:eastAsia="en-US"/>
              </w:rPr>
            </w:pPr>
            <w:hyperlink r:id="rId9" w:history="1">
              <w:r w:rsidRPr="00733C29">
                <w:rPr>
                  <w:rStyle w:val="a4"/>
                  <w:rFonts w:eastAsia="Calibri"/>
                  <w:sz w:val="22"/>
                  <w:szCs w:val="22"/>
                  <w:lang w:eastAsia="en-US"/>
                </w:rPr>
                <w:t>Закон України "Про оцінку земель"</w:t>
              </w:r>
            </w:hyperlink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землеустрій»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фермерське господарство»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оренду землі»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Надання дозволу на розроблення проекту </w:t>
            </w:r>
            <w:r w:rsidRPr="00733C29">
              <w:rPr>
                <w:rFonts w:eastAsia="Calibri"/>
                <w:sz w:val="22"/>
                <w:szCs w:val="22"/>
                <w:lang w:eastAsia="en-US"/>
              </w:rPr>
              <w:lastRenderedPageBreak/>
              <w:t>землеустрою щодо відведення земельної ділянки особі, яка зацікавлена в одержанні в користування земельної ділянки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lastRenderedPageBreak/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lastRenderedPageBreak/>
              <w:t>Закон України «Про місцеве самоврядування в Україні»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землеустрій»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дозволу на розроблення технічної  документації із землеустрою щодо встановлення (відновлення) меж земельної ділянки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Цивільний кодекс України 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оренду землі»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 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згоди на поділ чи об’єднання раніше сформованих земельних ділянок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Погодження проекту землеустрою, що забезпечує еколого-економічне обґрунтування сівозміни та впорядкування угідь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землеустрій»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державну експертизу землевпорядної документації»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Цивільний кодекс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права користування чужою земельною ділянкою для забудови (</w:t>
            </w:r>
            <w:proofErr w:type="spellStart"/>
            <w:r w:rsidRPr="00733C29">
              <w:rPr>
                <w:rFonts w:eastAsia="Calibri"/>
                <w:sz w:val="22"/>
                <w:szCs w:val="22"/>
                <w:lang w:eastAsia="en-US"/>
              </w:rPr>
              <w:t>суперфіцію</w:t>
            </w:r>
            <w:proofErr w:type="spellEnd"/>
            <w:r w:rsidRPr="00733C29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Земельний кодекс України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землеустрій»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Державний земельний кадастр»</w:t>
            </w:r>
          </w:p>
        </w:tc>
      </w:tr>
      <w:tr w:rsidR="00E75011" w:rsidRPr="00733C29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/>
                <w:sz w:val="22"/>
                <w:szCs w:val="22"/>
                <w:lang w:eastAsia="en-US"/>
              </w:rPr>
              <w:t>ПИТАННЯ МІСЦЕВОГО ЗНАЧЕННЯ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Присвоєння поштової адреси об’єкту нерухомого майна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врегулювання містобудівної діяльності»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адресу об’єкта нерухомого майна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3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Видача ордера на видалення зелених насаджень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благоустрій населених пунктів»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склад сім’ї призовника</w:t>
            </w:r>
          </w:p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1C248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Постанова Кабінету Міністрів України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 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Постанова Кабінету Міністрів України «Про затвердження Порядку організації та ведення військового обліку призовників і військовозобов’язаних» 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Житловий кодекс Української РСР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Внесення змін до облікових справ громадян, які потребують поліпшення житлових умов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Видача ордера на: </w:t>
            </w:r>
          </w:p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жиле приміщення; </w:t>
            </w:r>
          </w:p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 службове жиле приміщення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Прийняття рішення про переведення житлового будинку або житлового приміщення у нежитлові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Житловий кодекс Української РСР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Видача (продовження дії) дозволу на розміщення зовнішньої реклами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рекламу»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Погодження проведення салютів, феєрверків, інших заходів з використанням вибухових речовин і піротехнічних засобів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Україні», «Про забезпечення санітарного та епідемічного благополуччя населення»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Встановлення (погодження) режиму роботи підприємств, установ та організацій сфери обслуговування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Надання згоди на розміщення на території села, селища, міста місць чи об’єктів для зберігання та захоронення відходів, сфера екологічного впливу функціонування яких включає відповідну адміністративно-територіальну одиницю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відходи», «Про місцеве самоврядування в Україні»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bookmarkStart w:id="1" w:name="w213"/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Видача довідки про вихід </w:t>
            </w:r>
            <w:bookmarkEnd w:id="1"/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bookmarkStart w:id="2" w:name="w334"/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з </w:t>
            </w:r>
            <w:hyperlink r:id="rId10" w:anchor="w335" w:history="1">
              <w:r w:rsidRPr="00733C29">
                <w:rPr>
                  <w:rStyle w:val="a4"/>
                  <w:rFonts w:eastAsia="Calibri"/>
                  <w:sz w:val="22"/>
                  <w:szCs w:val="22"/>
                  <w:lang w:eastAsia="en-US"/>
                </w:rPr>
                <w:t>особистого</w:t>
              </w:r>
              <w:bookmarkEnd w:id="2"/>
            </w:hyperlink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 селянського  господарства </w:t>
            </w:r>
          </w:p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"Про особисте селянське господарство»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членство в особистому селянському господарстві (ОСГ)</w:t>
            </w:r>
          </w:p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особисте селянське господарство»,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Закон України «Про зайнятість населення»</w:t>
            </w:r>
          </w:p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bCs/>
                <w:sz w:val="22"/>
                <w:szCs w:val="22"/>
                <w:lang w:eastAsia="en-US"/>
              </w:rPr>
              <w:t>Постанова Кабінету Міністрів України «Про затвердження Порядку реєстрації, перереєстрації безробітних та ведення обліку осіб, які шукають роботу»</w:t>
            </w:r>
          </w:p>
        </w:tc>
      </w:tr>
      <w:tr w:rsidR="00E75011" w:rsidRPr="00733C29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733C29" w:rsidRDefault="00E75011" w:rsidP="00E75011">
            <w:pPr>
              <w:pStyle w:val="a3"/>
              <w:numPr>
                <w:ilvl w:val="0"/>
                <w:numId w:val="1"/>
              </w:numPr>
              <w:ind w:hanging="69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733C29" w:rsidRDefault="00E75011" w:rsidP="001C24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>Видача довідки про наявність у фізичної особи земельних ділянок (форма 3ДФ)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011" w:rsidRPr="00733C29" w:rsidRDefault="00E75011" w:rsidP="001C24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Наказ </w:t>
            </w:r>
            <w:proofErr w:type="spellStart"/>
            <w:r w:rsidRPr="00733C29">
              <w:rPr>
                <w:rFonts w:eastAsia="Calibri"/>
                <w:sz w:val="22"/>
                <w:szCs w:val="22"/>
                <w:lang w:eastAsia="en-US"/>
              </w:rPr>
              <w:t>Міндоходів</w:t>
            </w:r>
            <w:proofErr w:type="spellEnd"/>
            <w:r w:rsidRPr="00733C29">
              <w:rPr>
                <w:rFonts w:eastAsia="Calibri"/>
                <w:sz w:val="22"/>
                <w:szCs w:val="22"/>
                <w:lang w:eastAsia="en-US"/>
              </w:rPr>
              <w:t xml:space="preserve"> від 17.01.2014  № 32 «Про затвердження Порядку видачі довідки про наявність у фізичної особи земельних ділянок та її форми»</w:t>
            </w:r>
          </w:p>
        </w:tc>
      </w:tr>
    </w:tbl>
    <w:p w:rsidR="00E75011" w:rsidRDefault="00E75011" w:rsidP="00E75011">
      <w:pPr>
        <w:rPr>
          <w:vanish/>
        </w:rPr>
      </w:pPr>
    </w:p>
    <w:tbl>
      <w:tblPr>
        <w:tblW w:w="10003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386"/>
        <w:gridCol w:w="3969"/>
      </w:tblGrid>
      <w:tr w:rsidR="00E75011" w:rsidRPr="004F28C3" w:rsidTr="001C248D">
        <w:tc>
          <w:tcPr>
            <w:tcW w:w="10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011" w:rsidRPr="004F28C3" w:rsidRDefault="00E75011" w:rsidP="001C248D">
            <w:pPr>
              <w:tabs>
                <w:tab w:val="left" w:pos="456"/>
              </w:tabs>
              <w:ind w:left="314" w:hanging="28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F28C3">
              <w:rPr>
                <w:rFonts w:eastAsia="Calibri"/>
                <w:b/>
                <w:sz w:val="22"/>
                <w:szCs w:val="22"/>
              </w:rPr>
              <w:t xml:space="preserve">ПОСЛУГИ СОЦІАЛЬНОГО ХАРАКТЕРУ 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житлово-комунальні послуги”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Бюджетний кодекс України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Надання тимчасової державної допомоги дітям, батьки яких ухиляються від сплати аліментів або не </w:t>
            </w:r>
            <w:r w:rsidRPr="004F28C3">
              <w:rPr>
                <w:rFonts w:eastAsia="Calibri"/>
                <w:sz w:val="22"/>
                <w:szCs w:val="22"/>
              </w:rPr>
              <w:lastRenderedPageBreak/>
              <w:t>мають можливості утримувати дитину або місце їх проживання невідоме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lastRenderedPageBreak/>
              <w:t>Сімейний кодекс України,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Закон України “Про почесні звання </w:t>
            </w:r>
            <w:r w:rsidRPr="004F28C3">
              <w:rPr>
                <w:rFonts w:eastAsia="Calibri"/>
                <w:sz w:val="22"/>
                <w:szCs w:val="22"/>
              </w:rPr>
              <w:lastRenderedPageBreak/>
              <w:t>України”,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соціальні послуги”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5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Призначення одноразової винагороди жінкам, яким присвоєно почесне звання України “Мати-героїня”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5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Прийняття рішення щодо соціального обслуговування особи територіальним центром соціального обслуговування (надання соціальних послуг)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Видача довідки для отримання пільг інвалідам, які не мають права на пенсію чи соціальну допомогу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основи соціальної захищеності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Видача довідки про взяття на облік внутрішньо переміщеної особи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забезпечення прав і свобод внутрішньо переміщених осіб”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державної соціальної допомоги малозабезпеченим сім’ям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малозабезпеченим сім’ям”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Надання державної допомоги: 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допомогу сім’ям з дітьми”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2) при народженні дитини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3) при усиновленні дитини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4) на дітей, над якими встановлено опіку чи піклування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5) на дітей одиноким матерям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допомогу сім’ям з дітьми”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державної соціальної допомоги інвалідам з дитинства та дітям-інвалідам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інвалідам з дитинства та дітям-інвалідам”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надбавки на догляд за інвалідами з дитинства та дітьми-інвалідами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державної соціальної допомоги на догляд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Компенсаційна виплата фізичній особі, яка надає соціальні послуги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соціальні послуги”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Надання щомісячної компенсаційної виплати непрацюючій особі, яка здійснює догляд за інвалідом I групи або за особою, яка досягла 80-річного віку 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малозабезпеченим сім’ям”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Надання грошової допомоги особі, яка проживає разом з інвалідом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психіатричну допомогу”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забезпечення прав і свобод внутрішньо переміщених осіб”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волонтерську діяльність”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Призначення одноразової грошової/ матеріальної допомоги інвалідам та дітям-інвалідам 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основи соціальної захищеності інвалідів в Україні”</w:t>
            </w:r>
          </w:p>
        </w:tc>
      </w:tr>
      <w:tr w:rsidR="00E75011" w:rsidRPr="004F28C3" w:rsidTr="001C248D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Призначення одноразової компенсації: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1) сім’ям, які втратили годувальника із числа осіб, віднесених до учасників ліквідації наслідків аварії на </w:t>
            </w:r>
            <w:r w:rsidRPr="004F28C3">
              <w:rPr>
                <w:rFonts w:eastAsia="Calibri"/>
                <w:sz w:val="22"/>
                <w:szCs w:val="22"/>
              </w:rPr>
              <w:lastRenderedPageBreak/>
              <w:t>Чорнобильській АЕС, та смерть яких пов’язана з Чорнобильською катастрофою;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2)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робіт;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3)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Призначення грошової компенсації: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1) вартості проїзду до санаторно-курортного закладу і назад інвалідам війни та прирівняним до них особам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2) інвалідам замість санаторно-курортної путівки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реабілітацію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3) вартості проїзду до санаторно-курортного закладу (відділення спінального профілю) і назад особам, які супроводжують інвалідів I та II групи з наслідками травм і захворюваннями хребта та спинного мозку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4) вартості самостійного санаторно-курортного лікування інвалідів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реабілітацію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5)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6) інвалідам на бензин, ремонт і технічне обслуговування автомобілів та на транспортне обслуговування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реабілітацію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Видача направлення (путівки) інвалідам та/або дітям-інвалідам до реабілітаційних установ сфери управління </w:t>
            </w:r>
            <w:proofErr w:type="spellStart"/>
            <w:r w:rsidRPr="004F28C3">
              <w:rPr>
                <w:rFonts w:eastAsia="Calibri"/>
                <w:sz w:val="22"/>
                <w:szCs w:val="22"/>
              </w:rPr>
              <w:t>Мінсоцполітики</w:t>
            </w:r>
            <w:proofErr w:type="spellEnd"/>
            <w:r w:rsidRPr="004F28C3">
              <w:rPr>
                <w:rFonts w:eastAsia="Calibri"/>
                <w:sz w:val="22"/>
                <w:szCs w:val="22"/>
              </w:rPr>
              <w:t xml:space="preserve"> та/або органів соціального захисту населення (регіонального та місцевого рівнів)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інвалідів автомобілем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Видача направлення на забезпечення технічними та іншими засобами реабілітації інвалідів та дітей-інвалідів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реабілітацію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Видача путівки на влаштування до будинку-інтернату для громадян похилого віку та інвалідів, геріатричного пансіонату, пансіонату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соціальні послуги”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Установлення статусу, видача посвідчень та призначення компенсації і допомоги: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1) батькам багатодітної сім’ї та дитини з багатодітної сім’ї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2) особам, які постраждали внаслідок Чорнобильської катастрофи (відповідно до визначених категорій)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3) членам сім’ї загиблого (померлого) ветерана війни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4) учасникам війни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5) інвалідам війни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6) особам, які постраждали від торгівлі людьми</w:t>
            </w:r>
          </w:p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7) інвалідам та дітям-інвалідам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малозабезпеченим сім’ям”,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і соціальний захист громадян, які постраждали внаслідок Чорнобильської катастрофи”,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соціальну допомогу інвалідам з дитинства та дітям-інвалідам”,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державну допомогу сім’ям з дітьми”,</w:t>
            </w:r>
          </w:p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lastRenderedPageBreak/>
              <w:t>Закон України “Про державну соціальну допомогу особам, які не мають права на пенсію, та інвалідам”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Забезпечення санаторно-курортним лікуванням (путівками):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E75011" w:rsidRPr="004F28C3" w:rsidRDefault="00E75011" w:rsidP="001C24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E75011" w:rsidRPr="004F28C3" w:rsidRDefault="00E75011" w:rsidP="00E75011">
            <w:pPr>
              <w:numPr>
                <w:ilvl w:val="0"/>
                <w:numId w:val="5"/>
              </w:numPr>
              <w:tabs>
                <w:tab w:val="left" w:pos="454"/>
              </w:tabs>
              <w:ind w:left="170" w:firstLine="0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інвалідів з дитинства та внаслідок загального захворювання</w:t>
            </w:r>
          </w:p>
          <w:p w:rsidR="00E75011" w:rsidRPr="004F28C3" w:rsidRDefault="00E75011" w:rsidP="001C248D">
            <w:pPr>
              <w:ind w:left="17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основи соціальної захищеності інвалідів в Україні”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ind w:left="170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 xml:space="preserve">2) осіб, які постраждали під час проведення антитерористичної операції та яким установлено статус учасника бойових дій чи інваліда війни 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ind w:left="170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3) ветеранів війни та осіб, на яких поширюється дія Законів України “Про статус ветеранів війни, гарантії їх соціального захисту” та “Про жертви нацистських переслідувань”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жертви нацистських переслідувань”,</w:t>
            </w:r>
          </w:p>
          <w:p w:rsidR="00E75011" w:rsidRPr="004F28C3" w:rsidRDefault="00E75011" w:rsidP="001C248D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ветеранів війни, гарантії їх соціального захисту”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ind w:left="170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4)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ind w:left="360"/>
              <w:jc w:val="center"/>
              <w:rPr>
                <w:rFonts w:eastAsia="Calibri"/>
                <w:sz w:val="22"/>
                <w:szCs w:val="22"/>
              </w:rPr>
            </w:pPr>
            <w:r w:rsidRPr="004F28C3">
              <w:rPr>
                <w:rFonts w:eastAsia="Calibri"/>
                <w:sz w:val="22"/>
                <w:szCs w:val="22"/>
              </w:rPr>
              <w:t>Закон України “Про статус і соціальний захист громадян, які постраждали внаслідок Чорнобильської катастрофи”.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96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pStyle w:val="a5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Цивільний кодекс України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 xml:space="preserve">Видача дозволу опікуну на вчинення правочинів щодо: 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pStyle w:val="a5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Цивільний кодекс України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1) відмови від майнових прав підопічного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2) видання письмових зобов’язань від імені підопічного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3)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4) укладення договорів щодо іншого цінного майна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5)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6)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E75011">
            <w:pPr>
              <w:pStyle w:val="a3"/>
              <w:numPr>
                <w:ilvl w:val="0"/>
                <w:numId w:val="1"/>
              </w:numPr>
              <w:tabs>
                <w:tab w:val="left" w:pos="456"/>
              </w:tabs>
              <w:ind w:left="314" w:hanging="287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 xml:space="preserve">Видача піклувальнику дозволу на надання згоди особі, дієздатність якої обмежена, на вчинення правочинів щодо: </w:t>
            </w:r>
          </w:p>
        </w:tc>
        <w:tc>
          <w:tcPr>
            <w:tcW w:w="3969" w:type="dxa"/>
            <w:vMerge w:val="restart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pStyle w:val="a5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Цивільний кодекс України</w:t>
            </w: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1) відмови від майнових прав підопічного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>2) видання письмових зобов’язань від імені підопічного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75011" w:rsidRPr="004F28C3" w:rsidTr="001C248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11" w:rsidRPr="004F28C3" w:rsidRDefault="00E75011" w:rsidP="001C248D">
            <w:pPr>
              <w:pStyle w:val="a3"/>
              <w:tabs>
                <w:tab w:val="left" w:pos="456"/>
              </w:tabs>
              <w:ind w:left="36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hideMark/>
          </w:tcPr>
          <w:p w:rsidR="00E75011" w:rsidRPr="004F28C3" w:rsidRDefault="00E75011" w:rsidP="001C248D">
            <w:pPr>
              <w:pStyle w:val="a5"/>
              <w:spacing w:before="0"/>
              <w:ind w:left="170" w:firstLine="0"/>
              <w:rPr>
                <w:rFonts w:ascii="Times New Roman" w:eastAsia="Calibri" w:hAnsi="Times New Roman"/>
                <w:sz w:val="22"/>
                <w:szCs w:val="22"/>
              </w:rPr>
            </w:pPr>
            <w:r w:rsidRPr="004F28C3">
              <w:rPr>
                <w:rFonts w:ascii="Times New Roman" w:eastAsia="Calibri" w:hAnsi="Times New Roman"/>
                <w:sz w:val="22"/>
                <w:szCs w:val="22"/>
              </w:rPr>
              <w:t xml:space="preserve">3)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 </w:t>
            </w:r>
          </w:p>
        </w:tc>
        <w:tc>
          <w:tcPr>
            <w:tcW w:w="0" w:type="auto"/>
            <w:vMerge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  <w:hideMark/>
          </w:tcPr>
          <w:p w:rsidR="00E75011" w:rsidRPr="004F28C3" w:rsidRDefault="00E75011" w:rsidP="001C248D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E75011" w:rsidRDefault="00E75011" w:rsidP="00E75011">
      <w:pPr>
        <w:rPr>
          <w:rFonts w:ascii="Arial" w:hAnsi="Arial" w:cs="Arial"/>
        </w:rPr>
      </w:pPr>
    </w:p>
    <w:p w:rsidR="00F673DE" w:rsidRDefault="00F673DE"/>
    <w:sectPr w:rsidR="00F673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B2042"/>
    <w:multiLevelType w:val="hybridMultilevel"/>
    <w:tmpl w:val="99EC72A2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0D23BE"/>
    <w:multiLevelType w:val="hybridMultilevel"/>
    <w:tmpl w:val="F814B2EE"/>
    <w:lvl w:ilvl="0" w:tplc="D42643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922C01"/>
    <w:multiLevelType w:val="hybridMultilevel"/>
    <w:tmpl w:val="D2BAB082"/>
    <w:lvl w:ilvl="0" w:tplc="D8A009EA">
      <w:start w:val="1"/>
      <w:numFmt w:val="decimal"/>
      <w:lvlText w:val="%1)"/>
      <w:lvlJc w:val="left"/>
      <w:pPr>
        <w:ind w:left="5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63"/>
    <w:rsid w:val="005A4F63"/>
    <w:rsid w:val="00E75011"/>
    <w:rsid w:val="00F249C2"/>
    <w:rsid w:val="00F6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11"/>
    <w:pPr>
      <w:ind w:left="720"/>
      <w:contextualSpacing/>
    </w:pPr>
  </w:style>
  <w:style w:type="character" w:styleId="a4">
    <w:name w:val="Hyperlink"/>
    <w:uiPriority w:val="99"/>
    <w:unhideWhenUsed/>
    <w:rsid w:val="00E75011"/>
    <w:rPr>
      <w:color w:val="0000FF"/>
      <w:u w:val="single"/>
    </w:rPr>
  </w:style>
  <w:style w:type="paragraph" w:customStyle="1" w:styleId="a5">
    <w:name w:val="Нормальний текст"/>
    <w:basedOn w:val="a"/>
    <w:rsid w:val="00E75011"/>
    <w:pPr>
      <w:spacing w:before="120"/>
      <w:ind w:firstLine="567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11"/>
    <w:pPr>
      <w:ind w:left="720"/>
      <w:contextualSpacing/>
    </w:pPr>
  </w:style>
  <w:style w:type="character" w:styleId="a4">
    <w:name w:val="Hyperlink"/>
    <w:uiPriority w:val="99"/>
    <w:unhideWhenUsed/>
    <w:rsid w:val="00E75011"/>
    <w:rPr>
      <w:color w:val="0000FF"/>
      <w:u w:val="single"/>
    </w:rPr>
  </w:style>
  <w:style w:type="paragraph" w:customStyle="1" w:styleId="a5">
    <w:name w:val="Нормальний текст"/>
    <w:basedOn w:val="a"/>
    <w:rsid w:val="00E75011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58-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0.rada.gov.ua/laws/show/2768-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280/97-%D0%B2%D1%8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2.rada.gov.ua/laws/show/742-15?find=1&amp;text=%EF%F0%E8%EF%E8%ED%E5%ED%ED%FF+%E2%E5%E4%E5%ED%ED%FF+%EE%F1%EE%E1%E8%F1%F2%EE%E3%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1378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15722</Words>
  <Characters>8962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2021-03-02T12:33:00Z</dcterms:created>
  <dcterms:modified xsi:type="dcterms:W3CDTF">2021-03-02T13:42:00Z</dcterms:modified>
</cp:coreProperties>
</file>