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DE498A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селищного бюджету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об’єднаної територіальної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громади за  січень-</w:t>
      </w:r>
      <w:r w:rsidR="004A7C6B" w:rsidRPr="00EF48E3">
        <w:rPr>
          <w:rFonts w:ascii="Times New Roman" w:hAnsi="Times New Roman" w:cs="Times New Roman"/>
          <w:b/>
          <w:sz w:val="28"/>
          <w:szCs w:val="28"/>
          <w:lang w:val="uk-UA"/>
        </w:rPr>
        <w:t>червень</w:t>
      </w: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року.</w:t>
      </w:r>
    </w:p>
    <w:p w:rsidR="003B380A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6B" w:rsidRPr="00EF48E3" w:rsidRDefault="003B3541" w:rsidP="004A7C6B">
      <w:pPr>
        <w:pStyle w:val="a5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До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>загального</w:t>
      </w:r>
      <w:r w:rsidR="00414F4F"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 xml:space="preserve"> фонду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селищного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бюджету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Тростянецької</w:t>
      </w:r>
      <w:r w:rsidR="00414F4F" w:rsidRPr="00EF48E3">
        <w:rPr>
          <w:sz w:val="28"/>
          <w:szCs w:val="28"/>
        </w:rPr>
        <w:t xml:space="preserve">   </w:t>
      </w:r>
      <w:r w:rsidRPr="00EF48E3">
        <w:rPr>
          <w:sz w:val="28"/>
          <w:szCs w:val="28"/>
        </w:rPr>
        <w:t>об’єднаної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територіальної</w:t>
      </w:r>
      <w:r w:rsidR="00414F4F" w:rsidRPr="00EF48E3">
        <w:rPr>
          <w:sz w:val="28"/>
          <w:szCs w:val="28"/>
        </w:rPr>
        <w:t xml:space="preserve">  </w:t>
      </w:r>
      <w:r w:rsidRPr="00EF48E3">
        <w:rPr>
          <w:sz w:val="28"/>
          <w:szCs w:val="28"/>
        </w:rPr>
        <w:t>громади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за </w:t>
      </w:r>
      <w:r w:rsidR="005A68F6">
        <w:rPr>
          <w:sz w:val="28"/>
          <w:szCs w:val="28"/>
        </w:rPr>
        <w:t xml:space="preserve">І півріччя </w:t>
      </w:r>
      <w:r w:rsidR="00601B64" w:rsidRPr="00EF48E3">
        <w:rPr>
          <w:sz w:val="28"/>
          <w:szCs w:val="28"/>
        </w:rPr>
        <w:t>2020 року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надійшло</w:t>
      </w:r>
      <w:r w:rsidR="00414F4F" w:rsidRPr="00EF48E3">
        <w:rPr>
          <w:sz w:val="28"/>
          <w:szCs w:val="28"/>
        </w:rPr>
        <w:t xml:space="preserve"> </w:t>
      </w:r>
      <w:r w:rsidR="004A7C6B" w:rsidRPr="00EF48E3">
        <w:rPr>
          <w:sz w:val="28"/>
          <w:szCs w:val="28"/>
        </w:rPr>
        <w:t>31 288,6</w:t>
      </w:r>
      <w:r w:rsidR="00EC795B" w:rsidRPr="00EF48E3">
        <w:rPr>
          <w:sz w:val="28"/>
          <w:szCs w:val="28"/>
        </w:rPr>
        <w:t xml:space="preserve"> </w:t>
      </w:r>
      <w:r w:rsidR="009C7491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в тому числі</w:t>
      </w:r>
      <w:r w:rsidR="00414F4F" w:rsidRPr="00EF48E3">
        <w:rPr>
          <w:sz w:val="28"/>
          <w:szCs w:val="28"/>
        </w:rPr>
        <w:t xml:space="preserve"> </w:t>
      </w:r>
      <w:r w:rsidR="004A4DA7" w:rsidRPr="00EF48E3">
        <w:rPr>
          <w:sz w:val="28"/>
          <w:szCs w:val="28"/>
        </w:rPr>
        <w:t>надходжень без врахування трансфертів з усіх рівнів бюджетів</w:t>
      </w:r>
      <w:r w:rsidR="00414F4F" w:rsidRPr="00EF48E3">
        <w:rPr>
          <w:sz w:val="28"/>
          <w:szCs w:val="28"/>
        </w:rPr>
        <w:t xml:space="preserve"> </w:t>
      </w:r>
      <w:r w:rsidR="004A7C6B" w:rsidRPr="00EF48E3">
        <w:rPr>
          <w:sz w:val="28"/>
          <w:szCs w:val="28"/>
        </w:rPr>
        <w:t>20 023,7</w:t>
      </w:r>
      <w:r w:rsidR="00414F4F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що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складає</w:t>
      </w:r>
      <w:r w:rsidR="00414F4F" w:rsidRPr="00EF48E3">
        <w:rPr>
          <w:sz w:val="28"/>
          <w:szCs w:val="28"/>
        </w:rPr>
        <w:t xml:space="preserve"> </w:t>
      </w:r>
      <w:r w:rsidR="004A7C6B" w:rsidRPr="00EF48E3">
        <w:rPr>
          <w:sz w:val="28"/>
          <w:szCs w:val="28"/>
        </w:rPr>
        <w:t>96,4</w:t>
      </w:r>
      <w:r w:rsidRPr="00EF48E3">
        <w:rPr>
          <w:sz w:val="28"/>
          <w:szCs w:val="28"/>
        </w:rPr>
        <w:t xml:space="preserve"> % до помісячного плану та </w:t>
      </w:r>
      <w:r w:rsidR="004A7C6B" w:rsidRPr="00EF48E3">
        <w:rPr>
          <w:sz w:val="28"/>
          <w:szCs w:val="28"/>
        </w:rPr>
        <w:t>44,4</w:t>
      </w:r>
      <w:r w:rsidR="00893ED6" w:rsidRPr="00EF48E3">
        <w:rPr>
          <w:sz w:val="28"/>
          <w:szCs w:val="28"/>
        </w:rPr>
        <w:t>%</w:t>
      </w:r>
      <w:r w:rsidRPr="00EF48E3">
        <w:rPr>
          <w:sz w:val="28"/>
          <w:szCs w:val="28"/>
        </w:rPr>
        <w:t xml:space="preserve"> до затвердженого плану на рік</w:t>
      </w:r>
      <w:r w:rsidR="00EC795B" w:rsidRPr="00EF48E3">
        <w:rPr>
          <w:sz w:val="28"/>
          <w:szCs w:val="28"/>
        </w:rPr>
        <w:t xml:space="preserve">. </w:t>
      </w:r>
      <w:r w:rsidR="004A7C6B" w:rsidRPr="00EF48E3">
        <w:rPr>
          <w:sz w:val="28"/>
          <w:szCs w:val="28"/>
        </w:rPr>
        <w:t xml:space="preserve">Недовиконання плану становить 2 523,1 </w:t>
      </w:r>
      <w:proofErr w:type="spellStart"/>
      <w:r w:rsidR="004A7C6B" w:rsidRPr="00EF48E3">
        <w:rPr>
          <w:sz w:val="28"/>
          <w:szCs w:val="28"/>
        </w:rPr>
        <w:t>тис.грн</w:t>
      </w:r>
      <w:proofErr w:type="spellEnd"/>
      <w:r w:rsidR="004A7C6B" w:rsidRPr="00EF48E3">
        <w:rPr>
          <w:sz w:val="28"/>
          <w:szCs w:val="28"/>
        </w:rPr>
        <w:t>.</w:t>
      </w:r>
    </w:p>
    <w:p w:rsidR="00EC795B" w:rsidRPr="00EF48E3" w:rsidRDefault="00EC795B" w:rsidP="004A7C6B">
      <w:pPr>
        <w:pStyle w:val="a5"/>
        <w:shd w:val="clear" w:color="auto" w:fill="FFFFFF"/>
        <w:spacing w:before="225" w:beforeAutospacing="0" w:after="225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</w:t>
      </w:r>
    </w:p>
    <w:p w:rsidR="00EC795B" w:rsidRPr="00EF48E3" w:rsidRDefault="00EC795B" w:rsidP="00A1277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карантинних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Закону про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F48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F48E3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 </w:t>
      </w:r>
      <w:r w:rsidR="0055677A" w:rsidRPr="00EF48E3">
        <w:rPr>
          <w:rFonts w:ascii="Times New Roman" w:hAnsi="Times New Roman" w:cs="Times New Roman"/>
          <w:sz w:val="28"/>
          <w:szCs w:val="28"/>
          <w:lang w:val="uk-UA"/>
        </w:rPr>
        <w:t>негативно позначилися на фінансовій спроможності нашої громади.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Насамперед, це зниження темпів надходження доходів до бюджету громади. Так, порівняно з аналогічним періодом 2019 року надходження зменшились  на  </w:t>
      </w:r>
      <w:r w:rsidR="004A7C6B" w:rsidRPr="00EF48E3">
        <w:rPr>
          <w:rFonts w:ascii="Times New Roman" w:hAnsi="Times New Roman" w:cs="Times New Roman"/>
          <w:sz w:val="28"/>
          <w:szCs w:val="28"/>
          <w:lang w:val="uk-UA"/>
        </w:rPr>
        <w:t>2 047,2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 або на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9,3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%. Зменшення надходжень спостерігається по основних податках таких як: </w:t>
      </w:r>
    </w:p>
    <w:p w:rsidR="00EC795B" w:rsidRPr="00EF48E3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та збір на доходи фізичних осіб   на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631,5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акцизний податок   на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67,8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   на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565,9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 на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534,5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EC795B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плата за надання адміністративних послуг  на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187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795B" w:rsidRPr="00EF48E3" w:rsidRDefault="00EC795B" w:rsidP="00EC79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Крім того, станом на 01.0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.2020 року невиконання дохідної частини бюджету громади  до норми 1/12 становить </w:t>
      </w:r>
      <w:r w:rsidR="00D46FBC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 523,1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D46FBC" w:rsidRPr="00EF48E3">
        <w:rPr>
          <w:rFonts w:ascii="Times New Roman" w:hAnsi="Times New Roman" w:cs="Times New Roman"/>
          <w:sz w:val="28"/>
          <w:szCs w:val="28"/>
          <w:lang w:val="uk-UA"/>
        </w:rPr>
        <w:t>5,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895401" w:rsidRPr="00EF48E3" w:rsidRDefault="00603F3F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у складі власних та закріплених доходів залишається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11 314,2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EF48E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F48E3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.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56,5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>загальних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надходжень.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Планові показники даного податку на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70436E" w:rsidRPr="00EF48E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виконано на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99,4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недовиконання 74,3 </w:t>
      </w:r>
      <w:proofErr w:type="spellStart"/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припиненням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(</w:t>
      </w:r>
      <w:proofErr w:type="spellStart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завод»)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зменшенням обсягів виробництва 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(ТОВ ГРІН ТАУН ЛТД)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, скороченням чисельності працівників (КНП Тростянецька ЦРЛ, ГУС у Вінницькій області), переведення працівників на період дії карантину на оплату праці в розмірі 2/3 заробітної плати,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зменшився фонд оплати праці і, як наслідок темп росту даного податку. В порівнянні з аналогічним періодом минулого року, надходження податку та збору з фізичних осіб зменшились на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631,5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2B98" w:rsidRPr="00EF48E3" w:rsidRDefault="00895401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EF48E3">
        <w:rPr>
          <w:rFonts w:ascii="Times New Roman" w:hAnsi="Times New Roman" w:cs="Times New Roman"/>
          <w:sz w:val="28"/>
          <w:szCs w:val="28"/>
        </w:rPr>
        <w:t xml:space="preserve"> 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важливим джерелом надходжень доходів загального фонду є місцеві податки і збори, за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одження 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склали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5 826,4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F41428" w:rsidRPr="00EF48E3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 w:rsidR="009E44D5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суми </w:t>
      </w:r>
      <w:r w:rsidR="00F41428" w:rsidRPr="00EF48E3">
        <w:rPr>
          <w:rFonts w:ascii="Times New Roman" w:hAnsi="Times New Roman" w:cs="Times New Roman"/>
          <w:sz w:val="28"/>
          <w:szCs w:val="28"/>
          <w:lang w:val="uk-UA"/>
        </w:rPr>
        <w:t>власних надходжень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115,5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30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Причинами зменшення надходжень є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52B98" w:rsidRPr="00EF48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D530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зниження ставки податку на нерухоме майно відмінне від земельної ділянки з 1% до 0,5%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B98" w:rsidRPr="00EF48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податку та орендної плати</w:t>
      </w:r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, в результаті чого очікувані надходження до бюджету громади  у  2020 році зменш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ились на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451,6</w:t>
      </w:r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. )</w:t>
      </w:r>
      <w:r w:rsidR="00763F5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EFE"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EF48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заборгованість 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зі сплати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податку по платник</w:t>
      </w:r>
      <w:r w:rsidR="00EF0E25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ам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EF48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доходів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платників єдиного податку 3 групи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декларування (в порівняні з аналогічним періодом минулого року,  надходження зменшились на  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>394,8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:rsidR="00763F59" w:rsidRPr="00EF48E3" w:rsidRDefault="00763F59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Значну частину надходжень (1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>5,2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 до загальної суми власних надходжень) складає податок на майно – це 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>3 042,3</w:t>
      </w:r>
      <w:r w:rsidR="00AA7B9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числі: податок на нерухоме майно, відмінне від земельної ділянки – 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>320,7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земельний податок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2 709,1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транспортний податок – 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>12,5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Ваговим по обсягу є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 781,3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 або 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3,9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  до загальної суми власних  надходжень.</w:t>
      </w:r>
      <w:r w:rsidR="005C3876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A147D6" w:rsidRPr="00EF48E3" w:rsidRDefault="00A147D6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Надходженя</w:t>
      </w:r>
      <w:proofErr w:type="spellEnd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 w:rsidRPr="00EF48E3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2 415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12,1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460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1 589,5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365,5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4A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4A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річного декларування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(платник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78339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>53,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що у 2 рази більше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затверджених 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річних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сума перевиконання становить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28,8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>26,7</w:t>
      </w:r>
      <w:r w:rsidR="00AA7B9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</w:t>
      </w:r>
      <w:r w:rsidR="00E64BF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у І кварталі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2019 року 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>, яка надходила до районного бюджету.</w:t>
      </w:r>
    </w:p>
    <w:p w:rsidR="00D93C81" w:rsidRPr="00EF48E3" w:rsidRDefault="009B22D5" w:rsidP="00D93C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у січні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червні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414,3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тис. грн., що становить </w:t>
      </w:r>
      <w:r w:rsidR="00A147D6" w:rsidRPr="00EF48E3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 до усіх надходжень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38,4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 рік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272,3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Причинами зниження надходжень є зменшення кількості наданих послуг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та проведених реєстраційних дій в зв’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>язку із карантинними заходами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Основну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частину неподаткових надходжень 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плат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>а надання інших адміністративних послуг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366,8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34,9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% до затверджених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річних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призначен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ержавн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мит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 за звітний період надійшло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11,3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штраф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ів та інших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санкці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,4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інші надходження – 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33,8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75EC" w:rsidRPr="00EF48E3" w:rsidRDefault="00A475EC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Крім власних надходжень податків і зборів, до загального фонду бюджету громади  за звітний період отримано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11 264,9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дотацій та субвенцій із державного бюджету та інших місцевих бюджетів. </w:t>
      </w:r>
    </w:p>
    <w:p w:rsidR="005E50AF" w:rsidRPr="00EF48E3" w:rsidRDefault="00054BD8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</w:t>
      </w:r>
      <w:r w:rsidR="005A68F6">
        <w:rPr>
          <w:rFonts w:ascii="Times New Roman" w:hAnsi="Times New Roman" w:cs="Times New Roman"/>
          <w:sz w:val="28"/>
          <w:szCs w:val="28"/>
          <w:lang w:val="uk-UA"/>
        </w:rPr>
        <w:t xml:space="preserve">за 6 місяців поточного року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надійшло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674,2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 податкові і неподаткові надходження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540,6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доходи від операцій з капіталом – 86,1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цільові фонди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47,5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C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64C2" w:rsidRPr="00B164C2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>В умовах спаду економіки та повільного наповнення селищного бюджету громади з початку  року забезпечено фінансування бюджетних установ та місцевих програм.  Так,  за І півріччя 2020 року проведено касових видатків на загальну суму</w:t>
      </w:r>
      <w:r w:rsidRPr="00B164C2">
        <w:rPr>
          <w:color w:val="FF0000"/>
          <w:sz w:val="28"/>
          <w:szCs w:val="28"/>
        </w:rPr>
        <w:t xml:space="preserve"> </w:t>
      </w:r>
      <w:r w:rsidRPr="00B164C2">
        <w:rPr>
          <w:sz w:val="28"/>
          <w:szCs w:val="28"/>
        </w:rPr>
        <w:t xml:space="preserve">30 414,8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в тому числі загальний фонд – 28 306,7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., з них: на соціально-культурну сферу – 17496 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житлово-комунальне господарство – 3540,8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трансферти до інших бюджетів – 2 685,1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державне управління – 3 783,1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дорожнє господарство – 799,1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інші програми та заходи – 2,6 тис. грн. Касові видатки спеціального фонду становлять 2 108,1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, в тому числі  капітальні видатки -  1 573,6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</w:t>
      </w:r>
    </w:p>
    <w:p w:rsidR="00B164C2" w:rsidRPr="00B164C2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>Джерелами фінансування цих видатків є кошти бюджету громади, власні надходження бюджетних установ, а також дотація та субвенції із Державного, обласного та районного бюджетів.</w:t>
      </w:r>
    </w:p>
    <w:p w:rsidR="00B164C2" w:rsidRPr="009246DA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B164C2">
        <w:rPr>
          <w:sz w:val="28"/>
          <w:szCs w:val="28"/>
        </w:rPr>
        <w:t xml:space="preserve">Станом на 1 липня 2020 року рахується зареєстрована кредиторська заборгованість загального фонду по закупівлі меблів для навчальних кабінетів початкової школи за рахунок субвенції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 в сумі 62,6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</w:t>
      </w:r>
    </w:p>
    <w:p w:rsidR="001A4870" w:rsidRPr="00EF48E3" w:rsidRDefault="001A4870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545E0" w:rsidRPr="00EF48E3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548C" w:rsidRPr="00EF48E3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EF48E3" w:rsidRPr="00B469E6" w:rsidRDefault="00EF48E3" w:rsidP="00EF48E3">
      <w:pPr>
        <w:pStyle w:val="a4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469E6">
        <w:rPr>
          <w:rFonts w:ascii="Times New Roman" w:hAnsi="Times New Roman" w:cs="Times New Roman"/>
          <w:i/>
          <w:sz w:val="28"/>
          <w:szCs w:val="28"/>
          <w:lang w:val="uk-UA"/>
        </w:rPr>
        <w:t>Управління фінансів Тростянецької селищної ради</w:t>
      </w:r>
    </w:p>
    <w:p w:rsidR="00895401" w:rsidRPr="005D6CED" w:rsidRDefault="00895401" w:rsidP="00EF48E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95401" w:rsidRPr="005D6CED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7C9E"/>
    <w:rsid w:val="00034FE1"/>
    <w:rsid w:val="00054BD8"/>
    <w:rsid w:val="000678E5"/>
    <w:rsid w:val="000E0B18"/>
    <w:rsid w:val="000F39BB"/>
    <w:rsid w:val="00121A41"/>
    <w:rsid w:val="00126A62"/>
    <w:rsid w:val="001A139F"/>
    <w:rsid w:val="001A4870"/>
    <w:rsid w:val="001B3BC9"/>
    <w:rsid w:val="001B3D70"/>
    <w:rsid w:val="001D530C"/>
    <w:rsid w:val="002102B4"/>
    <w:rsid w:val="00216F5D"/>
    <w:rsid w:val="00225FDD"/>
    <w:rsid w:val="0025018B"/>
    <w:rsid w:val="0029089F"/>
    <w:rsid w:val="002B3C41"/>
    <w:rsid w:val="002F3FCE"/>
    <w:rsid w:val="002F486E"/>
    <w:rsid w:val="00305426"/>
    <w:rsid w:val="003156D6"/>
    <w:rsid w:val="00323836"/>
    <w:rsid w:val="00346784"/>
    <w:rsid w:val="00375D6C"/>
    <w:rsid w:val="00397A60"/>
    <w:rsid w:val="003B3541"/>
    <w:rsid w:val="003B380A"/>
    <w:rsid w:val="003B43EE"/>
    <w:rsid w:val="003C58CF"/>
    <w:rsid w:val="00400F62"/>
    <w:rsid w:val="004053A7"/>
    <w:rsid w:val="00414F4F"/>
    <w:rsid w:val="00447B50"/>
    <w:rsid w:val="00452B98"/>
    <w:rsid w:val="00496614"/>
    <w:rsid w:val="004A4DA7"/>
    <w:rsid w:val="004A5DCD"/>
    <w:rsid w:val="004A7C6B"/>
    <w:rsid w:val="004D2077"/>
    <w:rsid w:val="00502BF7"/>
    <w:rsid w:val="00512C1E"/>
    <w:rsid w:val="00537CDE"/>
    <w:rsid w:val="00540540"/>
    <w:rsid w:val="0055677A"/>
    <w:rsid w:val="00564FD3"/>
    <w:rsid w:val="005714AC"/>
    <w:rsid w:val="005A68F6"/>
    <w:rsid w:val="005C3876"/>
    <w:rsid w:val="005C4066"/>
    <w:rsid w:val="005D5DF7"/>
    <w:rsid w:val="005D6CED"/>
    <w:rsid w:val="005E50AF"/>
    <w:rsid w:val="005F0FE8"/>
    <w:rsid w:val="00601B64"/>
    <w:rsid w:val="0060247F"/>
    <w:rsid w:val="00603F3F"/>
    <w:rsid w:val="00607C77"/>
    <w:rsid w:val="006130EA"/>
    <w:rsid w:val="00624B6A"/>
    <w:rsid w:val="0067546C"/>
    <w:rsid w:val="00690951"/>
    <w:rsid w:val="006C659B"/>
    <w:rsid w:val="006F6C4B"/>
    <w:rsid w:val="0070436E"/>
    <w:rsid w:val="00731DC4"/>
    <w:rsid w:val="0075654E"/>
    <w:rsid w:val="007623AB"/>
    <w:rsid w:val="00763F59"/>
    <w:rsid w:val="0076548C"/>
    <w:rsid w:val="007658DB"/>
    <w:rsid w:val="0078339C"/>
    <w:rsid w:val="007D2A0A"/>
    <w:rsid w:val="007F4D5E"/>
    <w:rsid w:val="007F7EAB"/>
    <w:rsid w:val="0081289B"/>
    <w:rsid w:val="008322DB"/>
    <w:rsid w:val="0088308B"/>
    <w:rsid w:val="00886B6D"/>
    <w:rsid w:val="00893ED6"/>
    <w:rsid w:val="00895401"/>
    <w:rsid w:val="008B2EFF"/>
    <w:rsid w:val="008C230F"/>
    <w:rsid w:val="008F0DAB"/>
    <w:rsid w:val="009338D7"/>
    <w:rsid w:val="00944743"/>
    <w:rsid w:val="00945477"/>
    <w:rsid w:val="009B22D5"/>
    <w:rsid w:val="009C7491"/>
    <w:rsid w:val="009D77B7"/>
    <w:rsid w:val="009E44D5"/>
    <w:rsid w:val="009E7538"/>
    <w:rsid w:val="009F2029"/>
    <w:rsid w:val="00A12771"/>
    <w:rsid w:val="00A147D6"/>
    <w:rsid w:val="00A475EC"/>
    <w:rsid w:val="00A60B81"/>
    <w:rsid w:val="00A822C4"/>
    <w:rsid w:val="00A95B86"/>
    <w:rsid w:val="00AA6F83"/>
    <w:rsid w:val="00AA7B99"/>
    <w:rsid w:val="00AB4C3F"/>
    <w:rsid w:val="00AD2639"/>
    <w:rsid w:val="00AF6AE3"/>
    <w:rsid w:val="00B164C2"/>
    <w:rsid w:val="00B5570F"/>
    <w:rsid w:val="00B70721"/>
    <w:rsid w:val="00B94B40"/>
    <w:rsid w:val="00BE106B"/>
    <w:rsid w:val="00BE70C0"/>
    <w:rsid w:val="00C12881"/>
    <w:rsid w:val="00C43F48"/>
    <w:rsid w:val="00C45115"/>
    <w:rsid w:val="00C5137A"/>
    <w:rsid w:val="00C545E0"/>
    <w:rsid w:val="00CA01DD"/>
    <w:rsid w:val="00CE0676"/>
    <w:rsid w:val="00CF5629"/>
    <w:rsid w:val="00D17BEB"/>
    <w:rsid w:val="00D17FCC"/>
    <w:rsid w:val="00D369B7"/>
    <w:rsid w:val="00D36EFE"/>
    <w:rsid w:val="00D46FBC"/>
    <w:rsid w:val="00D723E1"/>
    <w:rsid w:val="00D93C81"/>
    <w:rsid w:val="00DD242A"/>
    <w:rsid w:val="00DD4EE8"/>
    <w:rsid w:val="00DF3DDF"/>
    <w:rsid w:val="00E10727"/>
    <w:rsid w:val="00E1172E"/>
    <w:rsid w:val="00E14591"/>
    <w:rsid w:val="00E16530"/>
    <w:rsid w:val="00E40478"/>
    <w:rsid w:val="00E4622F"/>
    <w:rsid w:val="00E550B9"/>
    <w:rsid w:val="00E64BFC"/>
    <w:rsid w:val="00E81F2E"/>
    <w:rsid w:val="00EC795B"/>
    <w:rsid w:val="00EF06AD"/>
    <w:rsid w:val="00EF0B48"/>
    <w:rsid w:val="00EF0E25"/>
    <w:rsid w:val="00EF2AE0"/>
    <w:rsid w:val="00EF48E3"/>
    <w:rsid w:val="00F25C4B"/>
    <w:rsid w:val="00F41428"/>
    <w:rsid w:val="00F61690"/>
    <w:rsid w:val="00F65004"/>
    <w:rsid w:val="00F83B62"/>
    <w:rsid w:val="00F908C8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semiHidden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4738</Words>
  <Characters>2702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5</cp:revision>
  <cp:lastPrinted>2020-07-01T13:56:00Z</cp:lastPrinted>
  <dcterms:created xsi:type="dcterms:W3CDTF">2020-07-01T13:59:00Z</dcterms:created>
  <dcterms:modified xsi:type="dcterms:W3CDTF">2020-07-02T06:48:00Z</dcterms:modified>
</cp:coreProperties>
</file>