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5" w:type="dxa"/>
        <w:tblLook w:val="04A0" w:firstRow="1" w:lastRow="0" w:firstColumn="1" w:lastColumn="0" w:noHBand="0" w:noVBand="1"/>
      </w:tblPr>
      <w:tblGrid>
        <w:gridCol w:w="3936"/>
        <w:gridCol w:w="3248"/>
        <w:gridCol w:w="3231"/>
      </w:tblGrid>
      <w:tr w:rsidR="00104574">
        <w:trPr>
          <w:trHeight w:val="1026"/>
        </w:trPr>
        <w:tc>
          <w:tcPr>
            <w:tcW w:w="10415" w:type="dxa"/>
            <w:gridSpan w:val="3"/>
          </w:tcPr>
          <w:p w:rsidR="00104574" w:rsidRDefault="000E2AF1">
            <w:pPr>
              <w:spacing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noProof/>
                <w:color w:val="000000" w:themeColor="text1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574" w:rsidRDefault="000E2AF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50165</wp:posOffset>
                      </wp:positionV>
                      <wp:extent cx="1371600" cy="4508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04574" w:rsidRDefault="00104574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396pt;margin-top:3.95pt;height:3.55pt;width:108pt;z-index:251659264;mso-width-relative:page;mso-height-relative:page;" fillcolor="#FFFFFF" filled="t" stroked="f" coordsize="21600,21600" o:gfxdata="UEsDBAoAAAAAAIdO4kAAAAAAAAAAAAAAAAAEAAAAZHJzL1BLAwQUAAAACACHTuJAoQVm3tUAAAAJ&#10;AQAADwAAAGRycy9kb3ducmV2LnhtbE2PQU/DMAyF70j8h8hI3FiywcpWmu6AtBNwYEPi6jVeW9E4&#10;pUm38u/xTnB79rOev1dsJt+pEw2xDWxhPjOgiKvgWq4tfOy3dytQMSE77AKThR+KsCmvrwrMXTjz&#10;O512qVYSwjFHC01Kfa51rBryGGehJxbvGAaPScah1m7As4T7Ti+MybTHluVDgz09N1R97UZvAbMH&#10;9/12vH/dv4wZruvJbJefxtrbm7l5ApVoSn/HcMEXdCiF6RBGdlF1Fh7XC+mSLgLUxTdmJYuDqKUB&#10;XRb6f4PyF1BLAwQUAAAACACHTuJAn9acdjwCAABEBAAADgAAAGRycy9lMm9Eb2MueG1srVPNbhMx&#10;EL4j8Q6W73SzIWnLqpuqSlSEVKBS4QEcrzdrsesxYyebcELiWolH4CG4IH76DJs3YuxNSyiXHtjD&#10;yuOZ+Wa+b8Ynp+umZiuFToPJeXow4EwZCYU2i5y/fXP+5Jgz54UpRA1G5XyjHD+dPH500tpMDaGC&#10;ulDICMS4rLU5r7y3WZI4WalGuAOwypCzBGyEJxMXSYGiJfSmToaDwWHSAhYWQSrn6HbWO/kOER8C&#10;CGWppZqBXDbK+B4VVS08UXKVto5PYrdlqaR/XZZOeVbnnJj6+KcidJ6HfzI5EdkCha203LUgHtLC&#10;PU6N0IaK3kHNhBdsifofqEZLBAelP5DQJD2RqAixSAf3tLmqhFWRC0nt7J3o7v/BylerS2S6yPmQ&#10;MyMaGnj3Zftx+7n72d1sP3Vfu5vux/a6+9V9676zYdCrtS6jtCt7iYGxsxcg3zlmYFoJs1BniNBW&#10;ShTUZRrik78SguEolc3bl1BQObH0EKVbl9gEQBKFreOENncTUmvPJF2mT4/SwwENT5JvNB4cj2MF&#10;kd0mW3T+uYKGhUPOkRYggovVhfOhGZHdhsTmodbFua7raOBiPq2RrQQty3n8duhuP6w2IdhASOsR&#10;w01kGYj1Avn1fL3Tag7Fhvgi9MtHT48OFeAHzlpavJy790uBirP6hSHNnqWjUdjUaIzGR0MycN8z&#10;3/cIIwkq556z/jj1/XYvLepFRZXSyN/AGelc6qhBmEHf1a5vWq4oze4hhO3dt2PUn8c/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BWbe1QAAAAkBAAAPAAAAAAAAAAEAIAAAACIAAABkcnMvZG93&#10;bnJldi54bWxQSwECFAAUAAAACACHTuJAn9acdjwCAABEBAAADgAAAAAAAAABACAAAAAkAQAAZHJz&#10;L2Uyb0RvYy54bWxQSwUGAAAAAAYABgBZAQAA0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67F26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БОБРОВИЦЬКА МIСЬКА РАДА</w:t>
            </w:r>
          </w:p>
          <w:p w:rsidR="00104574" w:rsidRDefault="000E2AF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  <w:lang w:val="uk-UA" w:eastAsia="ru-RU"/>
              </w:rPr>
              <w:t xml:space="preserve">Чернігівської </w:t>
            </w:r>
            <w:proofErr w:type="spellStart"/>
            <w:r>
              <w:rPr>
                <w:rFonts w:ascii="Times New Roman" w:eastAsia="Batang" w:hAnsi="Times New Roman" w:cs="Times New Roman"/>
                <w:b/>
                <w:bCs/>
                <w:color w:val="000000" w:themeColor="text1"/>
                <w:spacing w:val="20"/>
                <w:sz w:val="28"/>
                <w:szCs w:val="28"/>
                <w:lang w:val="uk-UA" w:eastAsia="ru-RU"/>
              </w:rPr>
              <w:t>областi</w:t>
            </w:r>
            <w:proofErr w:type="spellEnd"/>
          </w:p>
          <w:p w:rsidR="00104574" w:rsidRDefault="000E2A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                          (П’ЯТДЕСЯТ ВОСЬМА СЕСІЯ ВОСЬМОГО СКЛИКАННЯ)</w:t>
            </w:r>
          </w:p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Р I Ш Е 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uk-UA" w:eastAsia="ru-RU"/>
              </w:rPr>
              <w:t xml:space="preserve">                 </w:t>
            </w:r>
          </w:p>
        </w:tc>
      </w:tr>
      <w:tr w:rsidR="00104574">
        <w:tc>
          <w:tcPr>
            <w:tcW w:w="3936" w:type="dxa"/>
          </w:tcPr>
          <w:p w:rsidR="00104574" w:rsidRDefault="00104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48" w:type="dxa"/>
          </w:tcPr>
          <w:p w:rsidR="00104574" w:rsidRDefault="001045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231" w:type="dxa"/>
          </w:tcPr>
          <w:p w:rsidR="00104574" w:rsidRDefault="00104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104574">
        <w:tc>
          <w:tcPr>
            <w:tcW w:w="3936" w:type="dxa"/>
          </w:tcPr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ab/>
            </w:r>
          </w:p>
        </w:tc>
        <w:tc>
          <w:tcPr>
            <w:tcW w:w="3248" w:type="dxa"/>
          </w:tcPr>
          <w:p w:rsidR="00104574" w:rsidRDefault="00104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3231" w:type="dxa"/>
          </w:tcPr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104574">
        <w:tc>
          <w:tcPr>
            <w:tcW w:w="3936" w:type="dxa"/>
          </w:tcPr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 травня  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року</w:t>
            </w:r>
          </w:p>
        </w:tc>
        <w:tc>
          <w:tcPr>
            <w:tcW w:w="3248" w:type="dxa"/>
          </w:tcPr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uk-UA" w:eastAsia="ru-RU"/>
              </w:rPr>
              <w:t>м.Бобровиця</w:t>
            </w:r>
            <w:proofErr w:type="spellEnd"/>
          </w:p>
        </w:tc>
        <w:tc>
          <w:tcPr>
            <w:tcW w:w="3231" w:type="dxa"/>
          </w:tcPr>
          <w:p w:rsidR="00104574" w:rsidRDefault="000E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№ПРОЄКТ</w:t>
            </w:r>
          </w:p>
        </w:tc>
      </w:tr>
    </w:tbl>
    <w:p w:rsidR="00104574" w:rsidRDefault="00104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</w:p>
    <w:p w:rsidR="00104574" w:rsidRDefault="000E2AF1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внесення змін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Програми відшкодування </w:t>
      </w:r>
    </w:p>
    <w:p w:rsidR="00104574" w:rsidRDefault="000E2AF1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різниці в тарифах на послуги централізованого </w:t>
      </w:r>
    </w:p>
    <w:p w:rsidR="00104574" w:rsidRDefault="000E2AF1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водопостачання та централізованого водовідведення </w:t>
      </w:r>
    </w:p>
    <w:p w:rsidR="00104574" w:rsidRDefault="000E2AF1">
      <w:pPr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населення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міській територіальній</w:t>
      </w:r>
    </w:p>
    <w:p w:rsidR="00104574" w:rsidRDefault="000E2AF1">
      <w:pPr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громаді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2025-2027 роки</w:t>
      </w:r>
    </w:p>
    <w:p w:rsidR="00104574" w:rsidRDefault="00104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</w:p>
    <w:p w:rsidR="00D710F3" w:rsidRDefault="000E2AF1" w:rsidP="00D710F3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zh-CN"/>
        </w:rPr>
        <w:t xml:space="preserve">Відповідно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статті 26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zh-CN"/>
        </w:rPr>
        <w:t xml:space="preserve">Закону України «Про місцеве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zh-CN"/>
        </w:rPr>
        <w:t>самоврядування в Україні», статті 91 Бюджетного кодексу України, статті 4 Закону України «Про житлово-комунальні послуги», статті 15 Закону України «Про ціни та ціноутворення»,</w:t>
      </w:r>
      <w:r w:rsidRPr="002D1C4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</w:t>
      </w:r>
      <w:r w:rsidR="00D710F3">
        <w:rPr>
          <w:rFonts w:ascii="Times New Roman" w:hAnsi="Times New Roman" w:cs="Times New Roman"/>
          <w:color w:val="000000"/>
          <w:sz w:val="28"/>
          <w:szCs w:val="28"/>
          <w:lang w:val="uk-UA"/>
        </w:rPr>
        <w:t>янувши клопотання директора 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Міськдобробут</w:t>
      </w:r>
      <w:proofErr w:type="spellEnd"/>
      <w:r w:rsidR="00D710F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</w:t>
      </w:r>
      <w:r w:rsidR="00D710F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08.05.2026 року №151,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з урахуванням обговорення на засіданні постійної комісії, міська рада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:</w:t>
      </w:r>
    </w:p>
    <w:p w:rsidR="00D710F3" w:rsidRDefault="000E2AF1" w:rsidP="00D710F3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нести зміни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Програми відшкодування різниці в тарифах на послуги централізованого водопостачання та централізованого водовідведення для населення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міській територіальній громаді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2025-2027 роки,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затвердженої рішенням 37 сесії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 скликання від</w:t>
      </w:r>
      <w:r w:rsidR="00D710F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30.07.2024 року №2170-37/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 xml:space="preserve">ІІІ та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викласти Програму в такій редакції, додається.</w:t>
      </w:r>
    </w:p>
    <w:p w:rsidR="00104574" w:rsidRPr="00D710F3" w:rsidRDefault="000E2AF1" w:rsidP="00D710F3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2.Оприлюднити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Бобровицької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104574" w:rsidRDefault="000E2AF1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  <w:t>3.Контроль за виконанням рішення покласти на постійну комісію з питань фінансів, бюджету, соціально-економічного розвитку, містобудування, житлово-комунального господарства та місцевого самоврядування.</w:t>
      </w:r>
    </w:p>
    <w:p w:rsidR="00104574" w:rsidRDefault="00104574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</w:p>
    <w:p w:rsidR="00104574" w:rsidRDefault="0010457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uk-UA" w:eastAsia="ru-RU"/>
        </w:rPr>
      </w:pPr>
    </w:p>
    <w:p w:rsidR="00104574" w:rsidRDefault="000E2AF1">
      <w:pPr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В.о.міського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голови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   Геннадій ІВАНЮК</w:t>
      </w:r>
    </w:p>
    <w:p w:rsidR="00104574" w:rsidRDefault="001045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104574" w:rsidRDefault="001045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104574">
      <w:pPr>
        <w:spacing w:after="0" w:line="240" w:lineRule="auto"/>
        <w:ind w:left="5664" w:right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</w:p>
    <w:p w:rsidR="00104574" w:rsidRDefault="000E2AF1" w:rsidP="002D1C4F">
      <w:pPr>
        <w:spacing w:after="0" w:line="240" w:lineRule="auto"/>
        <w:ind w:left="5670" w:right="3"/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lastRenderedPageBreak/>
        <w:t>Додаток</w:t>
      </w:r>
    </w:p>
    <w:p w:rsidR="00104574" w:rsidRDefault="000E2AF1" w:rsidP="002D1C4F">
      <w:pPr>
        <w:spacing w:after="0" w:line="240" w:lineRule="auto"/>
        <w:ind w:left="5670" w:right="6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>до рішення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сесії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>Бобровицької</w:t>
      </w:r>
      <w:proofErr w:type="spellEnd"/>
    </w:p>
    <w:p w:rsidR="00104574" w:rsidRDefault="000E2AF1" w:rsidP="002D1C4F">
      <w:pPr>
        <w:spacing w:after="0" w:line="240" w:lineRule="auto"/>
        <w:ind w:left="5670" w:right="6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міської ради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ar-SA"/>
        </w:rPr>
        <w:t>VIII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скликання</w:t>
      </w:r>
    </w:p>
    <w:p w:rsidR="00104574" w:rsidRDefault="000E2AF1" w:rsidP="002D1C4F">
      <w:pPr>
        <w:spacing w:after="0" w:line="240" w:lineRule="auto"/>
        <w:ind w:left="5670" w:right="6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>21.05.2026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року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ar-SA"/>
        </w:rPr>
        <w:t>______</w:t>
      </w:r>
    </w:p>
    <w:p w:rsidR="00104574" w:rsidRDefault="00104574" w:rsidP="002D1C4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0E2A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ПРОГРАМА</w:t>
      </w:r>
    </w:p>
    <w:p w:rsidR="00104574" w:rsidRDefault="000E2AF1">
      <w:pPr>
        <w:spacing w:after="0" w:line="240" w:lineRule="auto"/>
        <w:ind w:right="-82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відшкодування різниці в тарифах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населення</w:t>
      </w:r>
    </w:p>
    <w:p w:rsidR="00104574" w:rsidRDefault="000E2AF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Бобровиц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ькій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міській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територіальній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громаді</w:t>
      </w:r>
      <w:proofErr w:type="spellEnd"/>
    </w:p>
    <w:p w:rsidR="00104574" w:rsidRDefault="000E2AF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5-2027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оки</w:t>
      </w:r>
      <w:proofErr w:type="spellEnd"/>
    </w:p>
    <w:p w:rsidR="00104574" w:rsidRDefault="00104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74" w:rsidRDefault="00104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0E2A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 Паспорт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3500"/>
        <w:gridCol w:w="5520"/>
      </w:tblGrid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1.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міська рада</w:t>
            </w:r>
          </w:p>
        </w:tc>
      </w:tr>
      <w:tr w:rsidR="00104574">
        <w:trPr>
          <w:trHeight w:val="2226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Законодавча база Програми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 України «Про місцеве самоврядування в Україні»,</w:t>
            </w: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Бюджетний Кодекс України,</w:t>
            </w:r>
          </w:p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 України «Про житлово-комунальні послуги»</w:t>
            </w:r>
          </w:p>
        </w:tc>
      </w:tr>
      <w:tr w:rsidR="00104574">
        <w:trPr>
          <w:trHeight w:val="525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Розпорядження міського голови </w:t>
            </w:r>
          </w:p>
          <w:p w:rsidR="00D710F3" w:rsidRDefault="00D71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 16.07.2024 року № 256,</w:t>
            </w: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розпорядження міського голови від 30.10.2025 №526</w:t>
            </w:r>
          </w:p>
          <w:p w:rsidR="00D710F3" w:rsidRDefault="00D710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104574" w:rsidRPr="002D1C4F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Відділ економіки, регуляторної діяльності  та інвестицій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5.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виковець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Програми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(головний розпорядник коштів)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міська рада, структурні підрозділи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04574" w:rsidRPr="002D1C4F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Виконавці програми (учасники Програми)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Структурні підрозділи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ради, підприємства, установи, організації комунальної власності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2025-2027 роки</w:t>
            </w:r>
          </w:p>
        </w:tc>
      </w:tr>
      <w:tr w:rsidR="00104574">
        <w:trPr>
          <w:trHeight w:val="661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Етапи виконання Програми (для довгострокових)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3500" w:type="dxa"/>
          </w:tcPr>
          <w:p w:rsidR="00104574" w:rsidRDefault="000E2A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в т.ч. кредиторська заборгованість минулих періодів, необхідних для реалізації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Програми, всього, у тому числі: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8 945,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2025 рік – 2 539,40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 - 3 312,20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 - 3 093,70</w:t>
            </w:r>
          </w:p>
        </w:tc>
      </w:tr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8.1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Кошти бюджету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територіальної громади,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5520" w:type="dxa"/>
          </w:tcPr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8 945,3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2025 рік – 2 539,40 </w:t>
            </w:r>
          </w:p>
          <w:p w:rsidR="00104574" w:rsidRDefault="000E2AF1">
            <w:pPr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2026 рік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3 312,20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:rsidR="00104574" w:rsidRDefault="000E2AF1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2027 рік - 3 093,70</w:t>
            </w:r>
          </w:p>
        </w:tc>
      </w:tr>
      <w:tr w:rsidR="00104574">
        <w:trPr>
          <w:trHeight w:val="20"/>
        </w:trPr>
        <w:tc>
          <w:tcPr>
            <w:tcW w:w="516" w:type="dxa"/>
          </w:tcPr>
          <w:p w:rsidR="00104574" w:rsidRDefault="000E2AF1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8.2</w:t>
            </w:r>
          </w:p>
        </w:tc>
        <w:tc>
          <w:tcPr>
            <w:tcW w:w="3500" w:type="dxa"/>
          </w:tcPr>
          <w:p w:rsidR="00104574" w:rsidRDefault="000E2AF1">
            <w:pPr>
              <w:spacing w:after="0" w:line="240" w:lineRule="auto"/>
              <w:ind w:left="-66" w:right="-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5520" w:type="dxa"/>
          </w:tcPr>
          <w:p w:rsidR="00104574" w:rsidRDefault="00104574">
            <w:pPr>
              <w:spacing w:after="0" w:line="240" w:lineRule="auto"/>
              <w:ind w:left="-38" w:righ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04574" w:rsidRDefault="000E2A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розв’язання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спрямован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</w:p>
    <w:p w:rsidR="00104574" w:rsidRDefault="000E2A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житлово-комунальних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вивезення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ТПВ. 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надаються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споживачам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артезіанських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свердловин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2 водонапірні вежі.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агальна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довжина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вуличних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гону, що знаходиться на балансі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ідприємства,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63,7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Загальна чисельність абонентів, які користуються послугою – 3 125. Середній вік мереж водогону - 30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років. На розподільчій мережі розташовано 38 пожежних гідрантів. Річний обсяг реалізації води в середньому за останні 5 років становить 192,04 тис.м3, у тому числі 92,8 % обсягу реалізується населенню.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надаються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селенню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споживачам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використовуючи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каналізаційні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протяжністю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 км та поля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фільтрації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Загальна кількість абоненті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користуються послугою з централізованого водовідведення – 470. Загальний обсяг централізованого водовідведення по всіх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групах споживачів в середньому за останні п’ять років становить 37,8 тис. м3.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із пунктом 1 постанови Кабінету Міністрів України від 29 квітня 2022 року №502 «Деякі питання регулювання діяльності у сфері комунальних послуг у зв’язку із введенням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Україні воєнного стану» органам, уповноваженим встановлювати тарифи, протягом дії воєнного стану в Україні, але не раніше завершення поточного опалювального періоду, рекомендовано не підвищувати тарифи на централізоване водопостачання та централізоване вод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овідведення для населення та застосовувати їх до споживача (населення) на рівні тарифів, що застосовувались станом на 24 лютого 2022 року.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 виконавчого комітету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                   від 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.08.2022 року № 218 продовжено дію 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арифів на комунальні послуги з централізованого водопостачання та водовідведення, які надаються населенню (були встановлені на 2022 рік рішенням виконавчого комітету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від 29.11.2021 р № 364) в розмірах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менших ніж за економічно обґр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унтованими витратами на виробництво цих послуг.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разі встановлення органом місцевого самоврядування тарифів на житлово-комунальні послуги на рівні, що нижче за економічно обґрунтовані витрати орган, який їх затвердив, зобов’язаний відшкодувати з відповідн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 місцевого бюджету надавачу послуг різницю між установленим розміром тарифів та економічно обґрунтованими витратами на виробництво цих послуг.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Постанова Кабінету Міністрів України від 01 червня 2011 року №869 «Про забезпечення єдиного підходу до формува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ння тарифів на житлово-комунальні послуги» в разі змін цін на складові тарифів, збільшення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мінімальної заробітної плати, податків та зборів, з метою недопущення збитковості підприємств, які надають житлово-комунальні послуги, передбачає коригування тарифів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відповідними складовими.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сама процедура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коригування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дозволяють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коригування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діючих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кожній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складові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створюються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кредиторської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заробітній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податках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єдиному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енергоносії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Виробник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змозі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поточні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ремонти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 через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коштів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відшкодовування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фактичними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витратами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нарахуваннями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діючих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ставитьпід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загрозу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стабільність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житлово-комунальними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належної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призвести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припинення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суттєвого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обмеження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спожиту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електроенергію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матеріальні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заробітної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плати;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нарахування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санкцій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несвоєчасн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неповні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розрахунки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енергоносії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несвоєчасну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податкових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чином,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тарифах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реальним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джерелом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фінансової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надавачів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Закону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ціноутворення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Кабінет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Міні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встановили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державні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регульовані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товари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нижчому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розміру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суб’єктам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господарювання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різницю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розмірами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ідповідних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 Бюджетного Кодексу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 Закону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визначати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напрями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житлово-комунального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благоустрою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пов’язаних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зазначене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тарифах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водопостачання та централізованого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можливе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тарифах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5-2027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дотриманням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аконів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самоврядування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ціноутворення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Бюджетного кодексу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Міні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06.2011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869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єдиного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підходу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житлово-комунальні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10457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74" w:rsidRDefault="000E2AF1">
      <w:pPr>
        <w:pStyle w:val="a8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</w:p>
    <w:p w:rsidR="00104574" w:rsidRDefault="000E2AF1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цієї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мету: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прогнозування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територіальної громади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діючих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тарифах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економічно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витратах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пов’язаних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беззбиткової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діяльн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Закону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житлово-комунальні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нормативному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івні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04574" w:rsidRDefault="000E2AF1">
      <w:pPr>
        <w:shd w:val="clear" w:color="auto" w:fill="FFFFFF"/>
        <w:spacing w:after="0" w:line="240" w:lineRule="auto"/>
        <w:ind w:right="22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своєчасний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hd w:val="clear" w:color="auto" w:fill="FFFFFF"/>
        <w:spacing w:after="0" w:line="240" w:lineRule="auto"/>
        <w:ind w:right="220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завдань і засобів розв’язання проблеми, завдань і заходів, показників результативності </w:t>
      </w:r>
    </w:p>
    <w:p w:rsidR="00104574" w:rsidRDefault="000E2A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прийнятним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збалансованим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якісного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беззбитковості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бюджету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 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централізованого 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4574" w:rsidRDefault="000E2A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врахування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споживачів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надавача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пропонується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тарифах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5-2027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4574" w:rsidRDefault="000E2A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розрахован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5-2027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запланованим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загальним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обсягом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8 945,3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тарифах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водопостачання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централізованого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12"/>
        <w:gridCol w:w="824"/>
        <w:gridCol w:w="26"/>
        <w:gridCol w:w="710"/>
        <w:gridCol w:w="850"/>
        <w:gridCol w:w="30"/>
        <w:gridCol w:w="820"/>
        <w:gridCol w:w="827"/>
        <w:gridCol w:w="716"/>
        <w:gridCol w:w="867"/>
        <w:gridCol w:w="12"/>
        <w:gridCol w:w="700"/>
        <w:gridCol w:w="847"/>
        <w:gridCol w:w="816"/>
      </w:tblGrid>
      <w:tr w:rsidR="00104574">
        <w:tc>
          <w:tcPr>
            <w:tcW w:w="3086" w:type="dxa"/>
            <w:gridSpan w:val="5"/>
            <w:shd w:val="clear" w:color="auto" w:fill="auto"/>
          </w:tcPr>
          <w:p w:rsidR="00104574" w:rsidRDefault="000E2A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ік</w:t>
            </w:r>
            <w:proofErr w:type="spellEnd"/>
          </w:p>
        </w:tc>
        <w:tc>
          <w:tcPr>
            <w:tcW w:w="3243" w:type="dxa"/>
            <w:gridSpan w:val="5"/>
            <w:shd w:val="clear" w:color="auto" w:fill="auto"/>
          </w:tcPr>
          <w:p w:rsidR="00104574" w:rsidRDefault="000E2A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ік</w:t>
            </w:r>
            <w:proofErr w:type="spellEnd"/>
          </w:p>
        </w:tc>
        <w:tc>
          <w:tcPr>
            <w:tcW w:w="3242" w:type="dxa"/>
            <w:gridSpan w:val="5"/>
            <w:shd w:val="clear" w:color="auto" w:fill="auto"/>
          </w:tcPr>
          <w:p w:rsidR="00104574" w:rsidRDefault="000E2A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ік</w:t>
            </w:r>
            <w:proofErr w:type="spellEnd"/>
          </w:p>
        </w:tc>
      </w:tr>
      <w:tr w:rsidR="00104574">
        <w:tc>
          <w:tcPr>
            <w:tcW w:w="1526" w:type="dxa"/>
            <w:gridSpan w:val="2"/>
            <w:shd w:val="clear" w:color="auto" w:fill="auto"/>
          </w:tcPr>
          <w:p w:rsidR="00104574" w:rsidRDefault="000E2AF1">
            <w:pPr>
              <w:ind w:right="-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04574" w:rsidRDefault="000E2AF1">
            <w:pPr>
              <w:ind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gridSpan w:val="3"/>
            <w:shd w:val="clear" w:color="auto" w:fill="auto"/>
          </w:tcPr>
          <w:p w:rsidR="00104574" w:rsidRDefault="000E2AF1">
            <w:pPr>
              <w:ind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663" w:type="dxa"/>
            <w:gridSpan w:val="2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Водовідведення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4574">
        <w:tc>
          <w:tcPr>
            <w:tcW w:w="714" w:type="dxa"/>
            <w:shd w:val="clear" w:color="auto" w:fill="auto"/>
          </w:tcPr>
          <w:p w:rsidR="00104574" w:rsidRDefault="000E2AF1">
            <w:pPr>
              <w:ind w:right="-2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812" w:type="dxa"/>
            <w:shd w:val="clear" w:color="auto" w:fill="auto"/>
          </w:tcPr>
          <w:p w:rsidR="00104574" w:rsidRDefault="000E2AF1">
            <w:pPr>
              <w:spacing w:after="0" w:line="240" w:lineRule="auto"/>
              <w:ind w:left="-5" w:right="-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left="-5" w:right="-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4574" w:rsidRDefault="000E2A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710" w:type="dxa"/>
            <w:shd w:val="clear" w:color="auto" w:fill="auto"/>
          </w:tcPr>
          <w:p w:rsidR="00104574" w:rsidRDefault="000E2AF1">
            <w:pPr>
              <w:spacing w:after="0" w:line="240" w:lineRule="auto"/>
              <w:ind w:left="-108" w:right="-108" w:firstLine="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left="-108" w:right="-108" w:firstLine="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04574" w:rsidRDefault="000E2A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04574" w:rsidRDefault="000E2AF1">
            <w:pPr>
              <w:spacing w:after="0" w:line="240" w:lineRule="auto"/>
              <w:ind w:right="-1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right="-1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7" w:type="dxa"/>
            <w:shd w:val="clear" w:color="auto" w:fill="auto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716" w:type="dxa"/>
            <w:shd w:val="clear" w:color="auto" w:fill="auto"/>
          </w:tcPr>
          <w:p w:rsidR="00104574" w:rsidRDefault="000E2AF1">
            <w:pPr>
              <w:spacing w:after="0" w:line="240" w:lineRule="auto"/>
              <w:ind w:left="-84" w:right="-12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left="-84" w:right="-12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7" w:type="dxa"/>
            <w:shd w:val="clear" w:color="auto" w:fill="auto"/>
          </w:tcPr>
          <w:p w:rsidR="00104574" w:rsidRDefault="000E2A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104574" w:rsidRDefault="000E2AF1">
            <w:pPr>
              <w:spacing w:after="0" w:line="240" w:lineRule="auto"/>
              <w:ind w:left="-108"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left="-108"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7" w:type="dxa"/>
            <w:shd w:val="clear" w:color="auto" w:fill="auto"/>
          </w:tcPr>
          <w:p w:rsidR="00104574" w:rsidRDefault="000E2AF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м3</w:t>
            </w:r>
          </w:p>
        </w:tc>
        <w:tc>
          <w:tcPr>
            <w:tcW w:w="816" w:type="dxa"/>
            <w:shd w:val="clear" w:color="auto" w:fill="auto"/>
          </w:tcPr>
          <w:p w:rsidR="00104574" w:rsidRDefault="000E2AF1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Розмі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відшко</w:t>
            </w:r>
            <w:proofErr w:type="spellEnd"/>
          </w:p>
          <w:p w:rsidR="00104574" w:rsidRDefault="000E2AF1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04574">
        <w:tc>
          <w:tcPr>
            <w:tcW w:w="714" w:type="dxa"/>
            <w:shd w:val="clear" w:color="auto" w:fill="auto"/>
          </w:tcPr>
          <w:p w:rsidR="00104574" w:rsidRDefault="000E2AF1">
            <w:pPr>
              <w:ind w:left="-142" w:right="-6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1843341</w:t>
            </w:r>
          </w:p>
        </w:tc>
        <w:tc>
          <w:tcPr>
            <w:tcW w:w="812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2031,6</w:t>
            </w:r>
          </w:p>
        </w:tc>
        <w:tc>
          <w:tcPr>
            <w:tcW w:w="824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29639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507,8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184700</w:t>
            </w:r>
          </w:p>
        </w:tc>
        <w:tc>
          <w:tcPr>
            <w:tcW w:w="820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2647,5</w:t>
            </w:r>
          </w:p>
        </w:tc>
        <w:tc>
          <w:tcPr>
            <w:tcW w:w="827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27900</w:t>
            </w:r>
          </w:p>
        </w:tc>
        <w:tc>
          <w:tcPr>
            <w:tcW w:w="716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664,7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180000</w:t>
            </w:r>
          </w:p>
        </w:tc>
        <w:tc>
          <w:tcPr>
            <w:tcW w:w="700" w:type="dxa"/>
            <w:shd w:val="clear" w:color="auto" w:fill="auto"/>
          </w:tcPr>
          <w:p w:rsidR="00104574" w:rsidRDefault="000E2AF1">
            <w:pPr>
              <w:ind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2486,9</w:t>
            </w:r>
          </w:p>
        </w:tc>
        <w:tc>
          <w:tcPr>
            <w:tcW w:w="847" w:type="dxa"/>
            <w:shd w:val="clear" w:color="auto" w:fill="auto"/>
          </w:tcPr>
          <w:p w:rsidR="00104574" w:rsidRDefault="000E2AF1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27403,0</w:t>
            </w:r>
          </w:p>
        </w:tc>
        <w:tc>
          <w:tcPr>
            <w:tcW w:w="816" w:type="dxa"/>
            <w:shd w:val="clear" w:color="auto" w:fill="auto"/>
          </w:tcPr>
          <w:p w:rsidR="00104574" w:rsidRDefault="000E2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606,8</w:t>
            </w:r>
          </w:p>
        </w:tc>
      </w:tr>
    </w:tbl>
    <w:p w:rsidR="00104574" w:rsidRDefault="0010457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04574" w:rsidRDefault="000E2AF1">
      <w:pPr>
        <w:pStyle w:val="a8"/>
        <w:shd w:val="clear" w:color="auto" w:fill="FFFFFF"/>
        <w:ind w:left="178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Очікувані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</w:p>
    <w:p w:rsidR="00104574" w:rsidRDefault="000E2AF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 Програми надасть змогу вирішення проблеми якісного надання послуг централізованого водопостачання та централізованого водовідведення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громади шляхом відшкодування різниці в тарифах за надані послуги.</w:t>
      </w:r>
    </w:p>
    <w:p w:rsidR="00104574" w:rsidRDefault="000E2AF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Обсяги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</w:p>
    <w:p w:rsidR="00104574" w:rsidRDefault="000E2AF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Фактичне відшкодування різниці в тарифах для підприємства-надавача послуг централізованого водопостачання та централізованого водовідведе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ння територіальної громади проводиться відповідно до вимог Порядку розрахунків, обліку та відшкодування різниці між установленим розміром тарифів та економічно-обґрунтованими витратами на послуги централізованого водопостачання та централізованого водовідв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едення для населення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(додаток 5 до Програми).</w:t>
      </w:r>
    </w:p>
    <w:p w:rsidR="00104574" w:rsidRDefault="000E2AF1">
      <w:pPr>
        <w:spacing w:line="20" w:lineRule="atLeast"/>
        <w:ind w:right="-7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Загальний</w:t>
      </w:r>
      <w:proofErr w:type="spellEnd"/>
      <w:r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орієнтовний</w:t>
      </w:r>
      <w:proofErr w:type="spellEnd"/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обсяг</w:t>
      </w:r>
      <w:proofErr w:type="spellEnd"/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роки</w:t>
      </w:r>
      <w:r>
        <w:rPr>
          <w:rFonts w:ascii="Times New Roman" w:hAnsi="Times New Roman" w:cs="Times New Roman"/>
          <w:color w:val="000000" w:themeColor="text1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8 945,3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тис.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(2025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ік – 2539,4 тис.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рік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3312,2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2027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рік - 3 093,70 тис.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(додаток 1).</w:t>
      </w:r>
    </w:p>
    <w:p w:rsidR="00104574" w:rsidRDefault="000E2AF1">
      <w:pPr>
        <w:spacing w:line="20" w:lineRule="atLeast"/>
        <w:ind w:right="-7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Виконавцем Програми є КП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», яке несе персональну відповідальність за достовірність даних, вказаних у звітності та наданих розрахунках (додатки 3 та 4 до Програми). </w:t>
      </w:r>
    </w:p>
    <w:p w:rsidR="00104574" w:rsidRDefault="000E2AF1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Фінансування заходів Програми здійснюється в межах фінансових можливостей бюджету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громади.</w:t>
      </w:r>
    </w:p>
    <w:p w:rsidR="00104574" w:rsidRDefault="000E2AF1">
      <w:pPr>
        <w:pStyle w:val="a5"/>
        <w:spacing w:before="4"/>
        <w:ind w:right="-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Програма</w:t>
      </w:r>
      <w:r>
        <w:rPr>
          <w:color w:val="000000" w:themeColor="text1"/>
          <w:spacing w:val="3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є</w:t>
      </w:r>
      <w:r>
        <w:rPr>
          <w:color w:val="000000" w:themeColor="text1"/>
          <w:spacing w:val="3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короткостроковою</w:t>
      </w:r>
      <w:r>
        <w:rPr>
          <w:color w:val="000000" w:themeColor="text1"/>
          <w:spacing w:val="3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</w:t>
      </w:r>
      <w:r>
        <w:rPr>
          <w:color w:val="000000" w:themeColor="text1"/>
          <w:spacing w:val="3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реалізовуватиметься</w:t>
      </w:r>
      <w:r>
        <w:rPr>
          <w:color w:val="000000" w:themeColor="text1"/>
          <w:spacing w:val="3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pacing w:val="3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2025-2027</w:t>
      </w:r>
      <w:r>
        <w:rPr>
          <w:color w:val="000000" w:themeColor="text1"/>
          <w:spacing w:val="-6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роках.</w:t>
      </w:r>
    </w:p>
    <w:p w:rsidR="00104574" w:rsidRDefault="000E2AF1">
      <w:pPr>
        <w:pStyle w:val="a5"/>
        <w:tabs>
          <w:tab w:val="left" w:pos="3199"/>
          <w:tab w:val="left" w:pos="4152"/>
          <w:tab w:val="left" w:pos="5274"/>
          <w:tab w:val="left" w:pos="6708"/>
          <w:tab w:val="left" w:pos="7206"/>
          <w:tab w:val="left" w:pos="8329"/>
          <w:tab w:val="left" w:pos="8790"/>
        </w:tabs>
        <w:ind w:right="-3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Коригування плану заходів Програми  та строків їх </w:t>
      </w:r>
      <w:r>
        <w:rPr>
          <w:color w:val="000000" w:themeColor="text1"/>
          <w:spacing w:val="-1"/>
          <w:sz w:val="28"/>
          <w:szCs w:val="28"/>
        </w:rPr>
        <w:t xml:space="preserve">виконання  </w:t>
      </w:r>
      <w:r>
        <w:rPr>
          <w:color w:val="000000" w:themeColor="text1"/>
          <w:sz w:val="28"/>
          <w:szCs w:val="28"/>
        </w:rPr>
        <w:t>здійснюватиметься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pacing w:val="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необхідності.</w:t>
      </w:r>
    </w:p>
    <w:p w:rsidR="00104574" w:rsidRDefault="000E2AF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Ресурсне забезпечення фінансових витрат, необхідних для виконання Програми за рахунок коштів 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викладене в додатку 2 до Програми</w:t>
      </w:r>
    </w:p>
    <w:p w:rsidR="00104574" w:rsidRDefault="00104574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0E2AF1">
      <w:pPr>
        <w:pStyle w:val="a8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7. Строки та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етапи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</w:p>
    <w:p w:rsidR="00104574" w:rsidRDefault="00104574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4574" w:rsidRDefault="000E2AF1">
      <w:pPr>
        <w:pStyle w:val="a8"/>
        <w:shd w:val="clear" w:color="auto" w:fill="FFFFFF"/>
        <w:ind w:left="0"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розрахована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пері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2025 по 2027 роки з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3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етапи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04574" w:rsidRDefault="00104574">
      <w:pPr>
        <w:pStyle w:val="a8"/>
        <w:shd w:val="clear" w:color="auto" w:fill="FFFFFF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4574" w:rsidRDefault="000E2AF1">
      <w:pPr>
        <w:pStyle w:val="a8"/>
        <w:shd w:val="clear" w:color="auto" w:fill="FFFFFF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Координація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ходом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Програми</w:t>
      </w:r>
      <w:proofErr w:type="spellEnd"/>
    </w:p>
    <w:p w:rsidR="00104574" w:rsidRDefault="00104574">
      <w:pPr>
        <w:shd w:val="clear" w:color="auto" w:fill="FFFFFF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Координацію і контроль за виконанням Програми здійснює постійна комісія міської ради з питань фінансів, бюджету, соціально-економічного розвитку, містобудув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ання, житлово-комунального господарства та місцевого самоврядування; відділ економіки, регуляторної діяльності та інвестицій; відділ бухгалтерського обліку, звітності та господарських питань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Підприємство-надавач послуг централізо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ваного водопостачання та централізованого водовідведення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для підтвердження поданих розрахунків щоквартально до 25 числа місяця наступного за звітним надає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звіт про витрати та фінансові показники діяльності пі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дприємства від надання послуг водопостачання та водовідведення по Формі № 1С - водопостачання, водовідведення, що підтверджує розрахунок різниці в тарифах на послуги централізованого водопостачання та централізованого водовідведення для населення громади.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 відповідального виконавця про хід виконання Програми та ефективність реалізації її завдань заслуховується на сесії міської ради з прийняттям відповідного рішення.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Дострокове припинення виконання Програми відбувається у разі втрати актуальності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сновної її мети за спільним поданням відповідального виконавця Програми. 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 завершення дії Програми виконавець оформляє звіт про результати виконання Програми.</w:t>
      </w:r>
    </w:p>
    <w:p w:rsidR="00104574" w:rsidRDefault="000E2AF1">
      <w:pPr>
        <w:ind w:left="486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0457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</w:t>
      </w:r>
    </w:p>
    <w:p w:rsidR="00104574" w:rsidRDefault="000E2AF1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>Додаток 1</w:t>
      </w:r>
    </w:p>
    <w:p w:rsidR="00104574" w:rsidRDefault="000E2AF1">
      <w:pPr>
        <w:spacing w:after="0" w:line="240" w:lineRule="auto"/>
        <w:ind w:left="11329"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Програми</w:t>
      </w:r>
    </w:p>
    <w:p w:rsidR="00104574" w:rsidRDefault="000E2A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ЗАХОДИ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РЕАЛІЗАЦІЇ ПРОГРАМИ</w:t>
      </w:r>
    </w:p>
    <w:p w:rsidR="00104574" w:rsidRDefault="000E2A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відшкодування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тарифах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водопостачання та централізованого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водовідведення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міській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5-2027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роки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71"/>
        <w:gridCol w:w="2302"/>
        <w:gridCol w:w="1276"/>
        <w:gridCol w:w="1134"/>
        <w:gridCol w:w="1559"/>
        <w:gridCol w:w="1134"/>
        <w:gridCol w:w="1134"/>
        <w:gridCol w:w="1134"/>
        <w:gridCol w:w="1134"/>
        <w:gridCol w:w="2126"/>
      </w:tblGrid>
      <w:tr w:rsidR="00104574">
        <w:trPr>
          <w:trHeight w:val="415"/>
        </w:trPr>
        <w:tc>
          <w:tcPr>
            <w:tcW w:w="531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№</w:t>
            </w:r>
          </w:p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з/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2271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Завдання</w:t>
            </w:r>
            <w:proofErr w:type="spellEnd"/>
          </w:p>
        </w:tc>
        <w:tc>
          <w:tcPr>
            <w:tcW w:w="2302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заходів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заходу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Виконавці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Джерела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фінансування</w:t>
            </w:r>
            <w:proofErr w:type="spellEnd"/>
          </w:p>
        </w:tc>
        <w:tc>
          <w:tcPr>
            <w:tcW w:w="4536" w:type="dxa"/>
            <w:gridSpan w:val="4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по роках, тис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рн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:rsidR="00104574" w:rsidRDefault="000E2AF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Очікуваний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результат</w:t>
            </w:r>
          </w:p>
        </w:tc>
      </w:tr>
      <w:tr w:rsidR="00104574">
        <w:trPr>
          <w:trHeight w:val="191"/>
        </w:trPr>
        <w:tc>
          <w:tcPr>
            <w:tcW w:w="531" w:type="dxa"/>
            <w:vMerge/>
            <w:shd w:val="clear" w:color="auto" w:fill="auto"/>
          </w:tcPr>
          <w:p w:rsidR="00104574" w:rsidRDefault="0010457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Всього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104574">
        <w:tc>
          <w:tcPr>
            <w:tcW w:w="531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104574" w:rsidRDefault="000E2AF1">
            <w:pPr>
              <w:pStyle w:val="a8"/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11</w:t>
            </w:r>
          </w:p>
        </w:tc>
      </w:tr>
      <w:tr w:rsidR="00104574">
        <w:tc>
          <w:tcPr>
            <w:tcW w:w="531" w:type="dxa"/>
            <w:vMerge w:val="restart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104574" w:rsidRDefault="000E2A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ідтримка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беззбиткової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КП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Міськдобробут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</w:p>
        </w:tc>
        <w:tc>
          <w:tcPr>
            <w:tcW w:w="2302" w:type="dxa"/>
            <w:shd w:val="clear" w:color="auto" w:fill="auto"/>
          </w:tcPr>
          <w:p w:rsidR="00104574" w:rsidRDefault="000E2A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Відшкодування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ізниці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затвердженим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розміром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тарифів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економічно-обґрунтованими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витратами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централізованого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водопостачання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Програми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рада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ідрозділи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громади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2031,6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2647,5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2486,90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7166,1</w:t>
            </w:r>
          </w:p>
        </w:tc>
        <w:tc>
          <w:tcPr>
            <w:tcW w:w="2126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централізованого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водопостачання</w:t>
            </w:r>
            <w:proofErr w:type="spellEnd"/>
          </w:p>
        </w:tc>
      </w:tr>
      <w:tr w:rsidR="00104574">
        <w:tc>
          <w:tcPr>
            <w:tcW w:w="531" w:type="dxa"/>
            <w:vMerge/>
            <w:shd w:val="clear" w:color="auto" w:fill="auto"/>
          </w:tcPr>
          <w:p w:rsidR="00104574" w:rsidRDefault="001045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104574" w:rsidRDefault="001045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104574" w:rsidRDefault="000E2AF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Відшкодування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ізниці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затвердженим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розміром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тарифів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економічно-обґрунтованими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витратами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централізованого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водовідведення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Програми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рада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структурні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ідрозділи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04574" w:rsidRDefault="000E2AF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507,8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664,7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606,80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779,3</w:t>
            </w:r>
          </w:p>
        </w:tc>
        <w:tc>
          <w:tcPr>
            <w:tcW w:w="2126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комунальних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централізованого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водовідведення</w:t>
            </w:r>
            <w:proofErr w:type="spellEnd"/>
          </w:p>
        </w:tc>
      </w:tr>
      <w:tr w:rsidR="00104574">
        <w:tc>
          <w:tcPr>
            <w:tcW w:w="531" w:type="dxa"/>
            <w:shd w:val="clear" w:color="auto" w:fill="auto"/>
          </w:tcPr>
          <w:p w:rsidR="00104574" w:rsidRDefault="001045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Всього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104574" w:rsidRDefault="00104574">
            <w:pPr>
              <w:spacing w:after="0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04574" w:rsidRDefault="001045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2539,4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3312,2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3093,70</w:t>
            </w:r>
          </w:p>
        </w:tc>
        <w:tc>
          <w:tcPr>
            <w:tcW w:w="1134" w:type="dxa"/>
            <w:shd w:val="clear" w:color="auto" w:fill="auto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8945,3</w:t>
            </w:r>
          </w:p>
        </w:tc>
        <w:tc>
          <w:tcPr>
            <w:tcW w:w="2126" w:type="dxa"/>
            <w:shd w:val="clear" w:color="auto" w:fill="auto"/>
          </w:tcPr>
          <w:p w:rsidR="00104574" w:rsidRDefault="001045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104574" w:rsidRDefault="00104574">
      <w:pPr>
        <w:ind w:left="10348" w:firstLine="154"/>
        <w:contextualSpacing/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104574" w:rsidRDefault="000E2AF1">
      <w:pPr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br w:type="page"/>
      </w:r>
    </w:p>
    <w:p w:rsidR="00104574" w:rsidRDefault="000E2AF1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</w:p>
    <w:p w:rsidR="00104574" w:rsidRDefault="000E2AF1">
      <w:pPr>
        <w:spacing w:after="0" w:line="240" w:lineRule="auto"/>
        <w:ind w:left="11329"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до Програми</w:t>
      </w:r>
    </w:p>
    <w:p w:rsidR="00104574" w:rsidRDefault="00104574">
      <w:pPr>
        <w:spacing w:after="0" w:line="240" w:lineRule="auto"/>
        <w:ind w:left="10348" w:firstLine="154"/>
        <w:contextualSpacing/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104574" w:rsidRDefault="000E2AF1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РЕСУРСНЕ ЗАБЕЗПЕЧЕННЯ ПРОГРАМИ</w:t>
      </w:r>
    </w:p>
    <w:p w:rsidR="00104574" w:rsidRDefault="000E2AF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міжнародного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Бобровицької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2025-2028 роки</w:t>
      </w:r>
    </w:p>
    <w:p w:rsidR="00104574" w:rsidRDefault="000E2AF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тис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рн</w:t>
      </w:r>
      <w:proofErr w:type="spellEnd"/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25"/>
        <w:gridCol w:w="1701"/>
        <w:gridCol w:w="1701"/>
        <w:gridCol w:w="3402"/>
      </w:tblGrid>
      <w:tr w:rsidR="00104574">
        <w:tc>
          <w:tcPr>
            <w:tcW w:w="3686" w:type="dxa"/>
            <w:vMerge w:val="restart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пропонується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залучити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27" w:type="dxa"/>
            <w:gridSpan w:val="3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рограми</w:t>
            </w:r>
            <w:proofErr w:type="spellEnd"/>
          </w:p>
        </w:tc>
      </w:tr>
      <w:tr w:rsidR="00104574">
        <w:tc>
          <w:tcPr>
            <w:tcW w:w="3686" w:type="dxa"/>
            <w:vMerge/>
            <w:shd w:val="clear" w:color="auto" w:fill="FFFFFF"/>
            <w:vAlign w:val="center"/>
          </w:tcPr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gridSpan w:val="3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</w:t>
            </w: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04574">
        <w:tc>
          <w:tcPr>
            <w:tcW w:w="3686" w:type="dxa"/>
            <w:vMerge/>
            <w:shd w:val="clear" w:color="auto" w:fill="FFFFFF"/>
            <w:vAlign w:val="center"/>
          </w:tcPr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04574">
        <w:tc>
          <w:tcPr>
            <w:tcW w:w="3686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104574">
        <w:tc>
          <w:tcPr>
            <w:tcW w:w="3686" w:type="dxa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525" w:type="dxa"/>
            <w:vAlign w:val="center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2539,4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3312,2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3093,7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3402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8945,3</w:t>
            </w:r>
          </w:p>
        </w:tc>
      </w:tr>
      <w:tr w:rsidR="00104574">
        <w:tc>
          <w:tcPr>
            <w:tcW w:w="3686" w:type="dxa"/>
          </w:tcPr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</w:t>
            </w:r>
          </w:p>
          <w:p w:rsidR="00104574" w:rsidRDefault="001045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04574">
        <w:tc>
          <w:tcPr>
            <w:tcW w:w="3686" w:type="dxa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Бобровицької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525" w:type="dxa"/>
            <w:vAlign w:val="center"/>
          </w:tcPr>
          <w:p w:rsidR="00104574" w:rsidRDefault="000E2A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2539,4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3312,2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3093,7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3402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8945,3</w:t>
            </w:r>
          </w:p>
        </w:tc>
      </w:tr>
      <w:tr w:rsidR="00104574">
        <w:tc>
          <w:tcPr>
            <w:tcW w:w="3686" w:type="dxa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25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vAlign w:val="center"/>
          </w:tcPr>
          <w:p w:rsidR="00104574" w:rsidRDefault="000E2A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04574" w:rsidRDefault="00104574">
      <w:pPr>
        <w:jc w:val="right"/>
        <w:rPr>
          <w:rFonts w:ascii="Times New Roman" w:eastAsia="Microsoft Sans Serif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right"/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ectPr w:rsidR="00104574">
          <w:pgSz w:w="16838" w:h="11906" w:orient="landscape"/>
          <w:pgMar w:top="851" w:right="1134" w:bottom="568" w:left="709" w:header="709" w:footer="709" w:gutter="0"/>
          <w:cols w:space="708"/>
          <w:docGrid w:linePitch="360"/>
        </w:sectPr>
      </w:pPr>
    </w:p>
    <w:p w:rsidR="00104574" w:rsidRDefault="000E2AF1">
      <w:pPr>
        <w:spacing w:after="0" w:line="240" w:lineRule="auto"/>
        <w:jc w:val="right"/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8"/>
        </w:rPr>
        <w:lastRenderedPageBreak/>
        <w:t>Додаток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>3</w:t>
      </w:r>
    </w:p>
    <w:p w:rsidR="00104574" w:rsidRDefault="000E2AF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 xml:space="preserve">до Програми </w:t>
      </w:r>
    </w:p>
    <w:p w:rsidR="00104574" w:rsidRDefault="000E2A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val="uk-UA"/>
        </w:rPr>
        <w:tab/>
      </w:r>
    </w:p>
    <w:p w:rsidR="00104574" w:rsidRDefault="000E2A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РОЗРАХУНОК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br/>
        <w:t> 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ізниці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в тарифах на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послуги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 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4"/>
      </w:tblGrid>
      <w:tr w:rsidR="00104574">
        <w:trPr>
          <w:trHeight w:val="1405"/>
          <w:tblCellSpacing w:w="0" w:type="dxa"/>
          <w:jc w:val="center"/>
        </w:trPr>
        <w:tc>
          <w:tcPr>
            <w:tcW w:w="10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централізованого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постачання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 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надані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населенню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громади___________________________________________________________</w:t>
            </w: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                                                    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ідприємства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код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 ЄДРПОУ)</w:t>
            </w: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період____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_____________________________________________________________</w:t>
            </w:r>
          </w:p>
        </w:tc>
      </w:tr>
    </w:tbl>
    <w:p w:rsidR="00104574" w:rsidRDefault="000E2AF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1129"/>
        <w:gridCol w:w="2593"/>
        <w:gridCol w:w="1518"/>
        <w:gridCol w:w="2268"/>
        <w:gridCol w:w="992"/>
        <w:gridCol w:w="1276"/>
        <w:gridCol w:w="992"/>
      </w:tblGrid>
      <w:tr w:rsidR="00104574" w:rsidRPr="002D1C4F">
        <w:trPr>
          <w:trHeight w:val="1214"/>
        </w:trPr>
        <w:tc>
          <w:tcPr>
            <w:tcW w:w="3722" w:type="dxa"/>
            <w:gridSpan w:val="2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Фактичні обсяги реалізації, м3</w:t>
            </w: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518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Фактичні нарахування згідно із встановленими для населення тарифами,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грн</w:t>
            </w:r>
            <w:proofErr w:type="spellEnd"/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Економічно – обґрунтовані витрати за поданими розрахунками із надання послуг для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населення , грн.</w:t>
            </w:r>
          </w:p>
        </w:tc>
        <w:tc>
          <w:tcPr>
            <w:tcW w:w="992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Різниця,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грн</w:t>
            </w:r>
            <w:proofErr w:type="spellEnd"/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гр.4-гр.3</w:t>
            </w:r>
          </w:p>
        </w:tc>
        <w:tc>
          <w:tcPr>
            <w:tcW w:w="1276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Сума, що відшкодована за попередній період, грн.</w:t>
            </w:r>
          </w:p>
        </w:tc>
        <w:tc>
          <w:tcPr>
            <w:tcW w:w="992" w:type="dxa"/>
            <w:vMerge w:val="restart"/>
          </w:tcPr>
          <w:p w:rsidR="00104574" w:rsidRDefault="000E2AF1">
            <w:pPr>
              <w:spacing w:after="105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Підлягає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відшкоду-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ванню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, грн.</w:t>
            </w: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гр.7= гр.5-гр. 6</w:t>
            </w:r>
          </w:p>
        </w:tc>
      </w:tr>
      <w:tr w:rsidR="00104574">
        <w:trPr>
          <w:trHeight w:val="1114"/>
        </w:trPr>
        <w:tc>
          <w:tcPr>
            <w:tcW w:w="1129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За звітний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період-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 xml:space="preserve"> місяць</w:t>
            </w:r>
          </w:p>
        </w:tc>
        <w:tc>
          <w:tcPr>
            <w:tcW w:w="2593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  <w:t>наростаючим підсумком з початку року</w:t>
            </w:r>
          </w:p>
        </w:tc>
        <w:tc>
          <w:tcPr>
            <w:tcW w:w="1518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276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:rsidR="00104574" w:rsidRDefault="00104574">
            <w:pPr>
              <w:spacing w:after="105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8"/>
                <w:lang w:val="uk-UA"/>
              </w:rPr>
            </w:pPr>
          </w:p>
        </w:tc>
      </w:tr>
      <w:tr w:rsidR="00104574">
        <w:tc>
          <w:tcPr>
            <w:tcW w:w="1129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593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518" w:type="dxa"/>
          </w:tcPr>
          <w:p w:rsidR="00104574" w:rsidRDefault="0010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04574" w:rsidRDefault="0010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04574" w:rsidRDefault="0010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04574" w:rsidRDefault="0010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04574" w:rsidRDefault="001045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</w:tr>
      <w:tr w:rsidR="00104574">
        <w:tc>
          <w:tcPr>
            <w:tcW w:w="1129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1</w:t>
            </w:r>
          </w:p>
        </w:tc>
        <w:tc>
          <w:tcPr>
            <w:tcW w:w="2593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2</w:t>
            </w:r>
          </w:p>
        </w:tc>
        <w:tc>
          <w:tcPr>
            <w:tcW w:w="1518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104574" w:rsidRDefault="000E2AF1">
            <w:pPr>
              <w:widowControl w:val="0"/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104574" w:rsidRDefault="000E2AF1">
            <w:pPr>
              <w:widowControl w:val="0"/>
              <w:spacing w:after="0" w:line="240" w:lineRule="auto"/>
              <w:ind w:left="-26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  <w:t>7</w:t>
            </w:r>
          </w:p>
        </w:tc>
      </w:tr>
      <w:tr w:rsidR="00104574">
        <w:tc>
          <w:tcPr>
            <w:tcW w:w="1129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593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518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uk-UA"/>
              </w:rPr>
            </w:pPr>
          </w:p>
        </w:tc>
      </w:tr>
    </w:tbl>
    <w:p w:rsidR="00104574" w:rsidRDefault="000E2A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</w:p>
    <w:tbl>
      <w:tblPr>
        <w:tblpPr w:leftFromText="180" w:rightFromText="180" w:vertAnchor="text" w:horzAnchor="page" w:tblpX="1111" w:tblpY="400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3307"/>
        <w:gridCol w:w="4042"/>
      </w:tblGrid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ідприємства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_______________________</w:t>
            </w:r>
          </w:p>
          <w:p w:rsidR="00104574" w:rsidRDefault="000E2AF1">
            <w:pPr>
              <w:spacing w:after="0" w:line="240" w:lineRule="auto"/>
              <w:ind w:right="130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</w:tr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бухгалтер</w:t>
            </w:r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_______________________</w:t>
            </w:r>
          </w:p>
          <w:p w:rsidR="00104574" w:rsidRDefault="000E2AF1">
            <w:pPr>
              <w:spacing w:after="0" w:line="240" w:lineRule="auto"/>
              <w:ind w:right="10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</w:tr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М. П.</w:t>
            </w:r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 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 </w:t>
            </w:r>
          </w:p>
        </w:tc>
      </w:tr>
    </w:tbl>
    <w:p w:rsidR="00104574" w:rsidRDefault="000E2A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</w:p>
    <w:p w:rsidR="00104574" w:rsidRDefault="000E2AF1">
      <w:pPr>
        <w:spacing w:after="0" w:line="240" w:lineRule="auto"/>
        <w:ind w:left="4860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 </w:t>
      </w:r>
    </w:p>
    <w:p w:rsidR="00104574" w:rsidRDefault="00104574">
      <w:pPr>
        <w:spacing w:after="0" w:line="240" w:lineRule="auto"/>
        <w:ind w:left="486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04574" w:rsidRDefault="00104574">
      <w:pPr>
        <w:ind w:left="12552" w:firstLine="9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104574">
      <w:pPr>
        <w:ind w:left="12552" w:firstLine="9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104574">
      <w:pPr>
        <w:ind w:left="12552" w:firstLine="9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10457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104574">
          <w:pgSz w:w="11906" w:h="16838"/>
          <w:pgMar w:top="709" w:right="851" w:bottom="1134" w:left="567" w:header="709" w:footer="709" w:gutter="0"/>
          <w:cols w:space="708"/>
          <w:docGrid w:linePitch="360"/>
        </w:sectPr>
      </w:pPr>
    </w:p>
    <w:p w:rsidR="00104574" w:rsidRDefault="0010457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0E2AF1">
      <w:pPr>
        <w:spacing w:after="0" w:line="240" w:lineRule="auto"/>
        <w:ind w:left="12552" w:firstLine="9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4</w:t>
      </w:r>
    </w:p>
    <w:p w:rsidR="00104574" w:rsidRDefault="000E2AF1">
      <w:pPr>
        <w:spacing w:after="0" w:line="240" w:lineRule="auto"/>
        <w:ind w:left="1264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Програми</w:t>
      </w:r>
    </w:p>
    <w:p w:rsidR="00104574" w:rsidRDefault="000E2A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РОЗРАХУНОК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 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ізниці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тарифах на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послуги</w:t>
      </w:r>
      <w:proofErr w:type="spellEnd"/>
    </w:p>
    <w:p w:rsidR="00104574" w:rsidRDefault="000E2A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централізованого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ідведення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04574" w:rsidRDefault="000E2A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населенню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громади___________________________________________________________</w:t>
      </w:r>
    </w:p>
    <w:p w:rsidR="00104574" w:rsidRDefault="000E2A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найменування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, код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з ЄДРПОУ)</w:t>
      </w:r>
    </w:p>
    <w:p w:rsidR="00104574" w:rsidRDefault="000E2A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звітний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період___________________________________________________________________</w:t>
      </w:r>
    </w:p>
    <w:p w:rsidR="00104574" w:rsidRDefault="001045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2497"/>
        <w:gridCol w:w="1847"/>
        <w:gridCol w:w="8"/>
        <w:gridCol w:w="2544"/>
        <w:gridCol w:w="1276"/>
        <w:gridCol w:w="2012"/>
        <w:gridCol w:w="2083"/>
      </w:tblGrid>
      <w:tr w:rsidR="00104574" w:rsidRPr="002D1C4F">
        <w:trPr>
          <w:trHeight w:val="1214"/>
          <w:jc w:val="center"/>
        </w:trPr>
        <w:tc>
          <w:tcPr>
            <w:tcW w:w="4689" w:type="dxa"/>
            <w:gridSpan w:val="2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Фактичні обсяги реалізації, м3</w:t>
            </w: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55" w:type="dxa"/>
            <w:gridSpan w:val="2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Фактичні нарахування згідно із встановленими для населення тарифами,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44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Економічно – обґрунтовані витрати за поданими розрахунками із надання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послуг для населення , грн.</w:t>
            </w:r>
          </w:p>
        </w:tc>
        <w:tc>
          <w:tcPr>
            <w:tcW w:w="1276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Різниця,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гр.4-гр.3</w:t>
            </w:r>
          </w:p>
        </w:tc>
        <w:tc>
          <w:tcPr>
            <w:tcW w:w="2012" w:type="dxa"/>
            <w:vMerge w:val="restart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Сума, що відшкодована за попередній період, грн.</w:t>
            </w:r>
          </w:p>
        </w:tc>
        <w:tc>
          <w:tcPr>
            <w:tcW w:w="2083" w:type="dxa"/>
            <w:vMerge w:val="restart"/>
          </w:tcPr>
          <w:p w:rsidR="00104574" w:rsidRDefault="000E2AF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Підлягає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відшкоду-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ванню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, грн.</w:t>
            </w: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гр.7= гр.5-гр. 6</w:t>
            </w:r>
          </w:p>
        </w:tc>
      </w:tr>
      <w:tr w:rsidR="00104574">
        <w:trPr>
          <w:trHeight w:val="1114"/>
          <w:jc w:val="center"/>
        </w:trPr>
        <w:tc>
          <w:tcPr>
            <w:tcW w:w="2192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За звітний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період-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місяць</w:t>
            </w:r>
          </w:p>
        </w:tc>
        <w:tc>
          <w:tcPr>
            <w:tcW w:w="2497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наростаючим підсумком з початку року</w:t>
            </w:r>
          </w:p>
        </w:tc>
        <w:tc>
          <w:tcPr>
            <w:tcW w:w="1855" w:type="dxa"/>
            <w:gridSpan w:val="2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44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12" w:type="dxa"/>
            <w:vMerge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83" w:type="dxa"/>
            <w:vMerge/>
          </w:tcPr>
          <w:p w:rsidR="00104574" w:rsidRDefault="0010457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04574">
        <w:trPr>
          <w:jc w:val="center"/>
        </w:trPr>
        <w:tc>
          <w:tcPr>
            <w:tcW w:w="2192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497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847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gridSpan w:val="2"/>
          </w:tcPr>
          <w:p w:rsidR="00104574" w:rsidRDefault="000E2AF1">
            <w:pPr>
              <w:widowControl w:val="0"/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2012" w:type="dxa"/>
          </w:tcPr>
          <w:p w:rsidR="00104574" w:rsidRDefault="000E2AF1">
            <w:pPr>
              <w:widowControl w:val="0"/>
              <w:spacing w:after="0" w:line="240" w:lineRule="auto"/>
              <w:ind w:left="-2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2083" w:type="dxa"/>
          </w:tcPr>
          <w:p w:rsidR="00104574" w:rsidRDefault="000E2A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104574">
        <w:trPr>
          <w:jc w:val="center"/>
        </w:trPr>
        <w:tc>
          <w:tcPr>
            <w:tcW w:w="2192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97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7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104574" w:rsidRDefault="00104574">
            <w:pPr>
              <w:widowControl w:val="0"/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12" w:type="dxa"/>
          </w:tcPr>
          <w:p w:rsidR="00104574" w:rsidRDefault="00104574">
            <w:pPr>
              <w:widowControl w:val="0"/>
              <w:spacing w:after="0" w:line="240" w:lineRule="auto"/>
              <w:ind w:left="-2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83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04574">
        <w:trPr>
          <w:jc w:val="center"/>
        </w:trPr>
        <w:tc>
          <w:tcPr>
            <w:tcW w:w="2192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97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7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12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83" w:type="dxa"/>
          </w:tcPr>
          <w:p w:rsidR="00104574" w:rsidRDefault="001045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04574" w:rsidRDefault="001045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111" w:tblpY="400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3307"/>
        <w:gridCol w:w="4042"/>
      </w:tblGrid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ідприємства</w:t>
            </w:r>
            <w:proofErr w:type="spellEnd"/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</w:t>
            </w:r>
          </w:p>
          <w:p w:rsidR="00104574" w:rsidRDefault="000E2AF1">
            <w:pPr>
              <w:spacing w:after="0" w:line="240" w:lineRule="auto"/>
              <w:ind w:right="130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бухгалтер</w:t>
            </w:r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 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</w:t>
            </w:r>
          </w:p>
          <w:p w:rsidR="00104574" w:rsidRDefault="000E2AF1">
            <w:pPr>
              <w:spacing w:after="0" w:line="240" w:lineRule="auto"/>
              <w:ind w:right="101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104574">
        <w:trPr>
          <w:tblCellSpacing w:w="0" w:type="dxa"/>
        </w:trPr>
        <w:tc>
          <w:tcPr>
            <w:tcW w:w="222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1045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П.</w:t>
            </w:r>
          </w:p>
        </w:tc>
        <w:tc>
          <w:tcPr>
            <w:tcW w:w="33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04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574" w:rsidRDefault="000E2A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104574" w:rsidRDefault="000E2AF1">
      <w:pPr>
        <w:spacing w:after="0" w:line="240" w:lineRule="auto"/>
        <w:ind w:left="48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104574">
      <w:pPr>
        <w:spacing w:after="0" w:line="240" w:lineRule="auto"/>
        <w:ind w:left="48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574" w:rsidRDefault="0010457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04574" w:rsidRDefault="00104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1045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104574">
      <w:pPr>
        <w:ind w:left="7080"/>
        <w:rPr>
          <w:rFonts w:ascii="Times New Roman" w:hAnsi="Times New Roman" w:cs="Times New Roman"/>
          <w:iCs/>
          <w:color w:val="000000" w:themeColor="text1"/>
          <w:sz w:val="28"/>
          <w:szCs w:val="28"/>
        </w:rPr>
        <w:sectPr w:rsidR="00104574">
          <w:pgSz w:w="16838" w:h="11906" w:orient="landscape"/>
          <w:pgMar w:top="851" w:right="1134" w:bottom="568" w:left="709" w:header="709" w:footer="709" w:gutter="0"/>
          <w:cols w:space="708"/>
          <w:docGrid w:linePitch="360"/>
        </w:sectPr>
      </w:pPr>
    </w:p>
    <w:p w:rsidR="00104574" w:rsidRDefault="000E2AF1">
      <w:pPr>
        <w:ind w:left="7080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Додато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к 5     до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Програми</w:t>
      </w:r>
    </w:p>
    <w:p w:rsidR="00104574" w:rsidRDefault="000E2AF1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</w:p>
    <w:p w:rsidR="00104574" w:rsidRDefault="00104574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04574" w:rsidRDefault="000E2AF1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ПОРЯДОК</w:t>
      </w:r>
    </w:p>
    <w:p w:rsidR="00104574" w:rsidRDefault="000E2AF1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розрахунків, обліку та відшкодування різниці між установленим розміром тарифів та економічно обґрунтованими витратами</w:t>
      </w:r>
    </w:p>
    <w:p w:rsidR="00104574" w:rsidRDefault="000E2AF1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на послуги централізованого водопост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ачання та централізованого водовідведення для населення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міської територіальної громади  </w:t>
      </w:r>
    </w:p>
    <w:p w:rsidR="00104574" w:rsidRDefault="00104574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04574" w:rsidRDefault="000E2AF1">
      <w:pPr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1.Цей Порядок визначає механізм розрахунку та відшкодування підприємству - надавачу послуг централізованого водопостачання та централізованого водовідвед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ення КП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» різниці між затвердженим розміром тарифів та розміром економічно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обгрунтованих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витрат на їх виробництво за фактичними обсягами споживання.</w:t>
      </w:r>
    </w:p>
    <w:p w:rsidR="00104574" w:rsidRDefault="000E2AF1">
      <w:pPr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2.Видатки на відшкодування витрат різниці в тарифах міська рада передбачає у бюджеті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згідно з наданими виробником послуг розрахунками.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отримання відшкодування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щомісяця до 10 числа місяця наступного за звітним надає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розрахунок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різниці в тарифа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на послуги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централізованого водопостачання та розрахунок різниці в тарифах на послуги централізованого водовідведення для населення громади згідно з додатками 1, 2 відповідно до норм постанови Кабінету Міністрів України від 01.06.2011року №869 «Про заб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езпечення єдиного підходу до формування тарифів на житлово-комунальні послуги».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4.Відповідно до поданих розрахунків відділ економіки, регуляторної діяльності та інвестицій міської ради готує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про відшкодування різниці в тарифах між затверджен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 розміром тарифів та розміром економічно–обґрунтованих витрат на їх виробництво за фактичними обсягами споживання та подає на розгляд виконавчого комітету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5.Сума, що підлягає відшкодуванню, визначається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підприємством-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надавачем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послуг на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ідставі таких підтверджуючих документів: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розрахунок різниці в тарифах на послуги централізованого водопостачання населенню, що засвідчений підписом керівника, скріпленим печаткою;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копія рішення виконавчого комітету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про встанов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лення діючих тарифів.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6.Сума, що підлягає відшкодуванню, визначається як різниця між економічно обґрунтованими витратами за поданими розрахунками із надання послуг для населення та фактичними нарахуваннями згідно із встановленими для населення тарифами за фактичними обсягами 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алізації. 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7.Відшкодування здійснюється шляхом щомісячного перерахування коштів на рахунок КП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Міськдобробут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 відкритий в управлінні Державної казначейської служби України і використовується ним для здійснення господарської діяльності підприємства.</w:t>
      </w:r>
    </w:p>
    <w:p w:rsidR="00104574" w:rsidRDefault="000E2AF1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8.Бобр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овицька міська рада, як головний розпорядник  бюджетних коштів, на підставі рішення виконавчого комітету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Бобровицької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про затвердження розрахунків різниці в тарифах, в межах бюджету, проводить відшкодування витрат, що пов’язані з дією тарифів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послуги централізованого водопостачання та централізованого водовідведення нижчих від розміру економічно обґрунтованих витрат на їх виробництво.</w:t>
      </w:r>
    </w:p>
    <w:p w:rsidR="00104574" w:rsidRDefault="00104574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1045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F1" w:rsidRDefault="000E2AF1">
      <w:pPr>
        <w:spacing w:line="240" w:lineRule="auto"/>
      </w:pPr>
      <w:r>
        <w:separator/>
      </w:r>
    </w:p>
  </w:endnote>
  <w:endnote w:type="continuationSeparator" w:id="0">
    <w:p w:rsidR="000E2AF1" w:rsidRDefault="000E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F1" w:rsidRDefault="000E2AF1">
      <w:pPr>
        <w:spacing w:after="0"/>
      </w:pPr>
      <w:r>
        <w:separator/>
      </w:r>
    </w:p>
  </w:footnote>
  <w:footnote w:type="continuationSeparator" w:id="0">
    <w:p w:rsidR="000E2AF1" w:rsidRDefault="000E2A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B3"/>
    <w:multiLevelType w:val="multilevel"/>
    <w:tmpl w:val="10CB62B3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2862" w:hanging="360"/>
      </w:pPr>
    </w:lvl>
    <w:lvl w:ilvl="2">
      <w:start w:val="1"/>
      <w:numFmt w:val="lowerRoman"/>
      <w:lvlText w:val="%3."/>
      <w:lvlJc w:val="right"/>
      <w:pPr>
        <w:ind w:left="3582" w:hanging="180"/>
      </w:pPr>
    </w:lvl>
    <w:lvl w:ilvl="3">
      <w:start w:val="1"/>
      <w:numFmt w:val="decimal"/>
      <w:lvlText w:val="%4."/>
      <w:lvlJc w:val="left"/>
      <w:pPr>
        <w:ind w:left="4302" w:hanging="360"/>
      </w:pPr>
    </w:lvl>
    <w:lvl w:ilvl="4">
      <w:start w:val="1"/>
      <w:numFmt w:val="lowerLetter"/>
      <w:lvlText w:val="%5."/>
      <w:lvlJc w:val="left"/>
      <w:pPr>
        <w:ind w:left="5022" w:hanging="360"/>
      </w:pPr>
    </w:lvl>
    <w:lvl w:ilvl="5">
      <w:start w:val="1"/>
      <w:numFmt w:val="lowerRoman"/>
      <w:lvlText w:val="%6."/>
      <w:lvlJc w:val="right"/>
      <w:pPr>
        <w:ind w:left="5742" w:hanging="180"/>
      </w:pPr>
    </w:lvl>
    <w:lvl w:ilvl="6">
      <w:start w:val="1"/>
      <w:numFmt w:val="decimal"/>
      <w:lvlText w:val="%7."/>
      <w:lvlJc w:val="left"/>
      <w:pPr>
        <w:ind w:left="6462" w:hanging="360"/>
      </w:pPr>
    </w:lvl>
    <w:lvl w:ilvl="7">
      <w:start w:val="1"/>
      <w:numFmt w:val="lowerLetter"/>
      <w:lvlText w:val="%8."/>
      <w:lvlJc w:val="left"/>
      <w:pPr>
        <w:ind w:left="7182" w:hanging="360"/>
      </w:pPr>
    </w:lvl>
    <w:lvl w:ilvl="8">
      <w:start w:val="1"/>
      <w:numFmt w:val="lowerRoman"/>
      <w:lvlText w:val="%9."/>
      <w:lvlJc w:val="right"/>
      <w:pPr>
        <w:ind w:left="7902" w:hanging="180"/>
      </w:pPr>
    </w:lvl>
  </w:abstractNum>
  <w:abstractNum w:abstractNumId="1">
    <w:nsid w:val="66034949"/>
    <w:multiLevelType w:val="multilevel"/>
    <w:tmpl w:val="66034949"/>
    <w:lvl w:ilvl="0">
      <w:start w:val="3"/>
      <w:numFmt w:val="decimal"/>
      <w:lvlText w:val="%1."/>
      <w:lvlJc w:val="left"/>
      <w:pPr>
        <w:ind w:left="1782" w:hanging="360"/>
      </w:pPr>
      <w:rPr>
        <w:rFonts w:hint="default"/>
        <w:b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2502" w:hanging="360"/>
      </w:pPr>
    </w:lvl>
    <w:lvl w:ilvl="2">
      <w:start w:val="1"/>
      <w:numFmt w:val="lowerRoman"/>
      <w:lvlText w:val="%3."/>
      <w:lvlJc w:val="right"/>
      <w:pPr>
        <w:ind w:left="3222" w:hanging="180"/>
      </w:pPr>
    </w:lvl>
    <w:lvl w:ilvl="3">
      <w:start w:val="1"/>
      <w:numFmt w:val="decimal"/>
      <w:lvlText w:val="%4."/>
      <w:lvlJc w:val="left"/>
      <w:pPr>
        <w:ind w:left="3942" w:hanging="360"/>
      </w:pPr>
    </w:lvl>
    <w:lvl w:ilvl="4">
      <w:start w:val="1"/>
      <w:numFmt w:val="lowerLetter"/>
      <w:lvlText w:val="%5."/>
      <w:lvlJc w:val="left"/>
      <w:pPr>
        <w:ind w:left="4662" w:hanging="360"/>
      </w:pPr>
    </w:lvl>
    <w:lvl w:ilvl="5">
      <w:start w:val="1"/>
      <w:numFmt w:val="lowerRoman"/>
      <w:lvlText w:val="%6."/>
      <w:lvlJc w:val="right"/>
      <w:pPr>
        <w:ind w:left="5382" w:hanging="180"/>
      </w:pPr>
    </w:lvl>
    <w:lvl w:ilvl="6">
      <w:start w:val="1"/>
      <w:numFmt w:val="decimal"/>
      <w:lvlText w:val="%7."/>
      <w:lvlJc w:val="left"/>
      <w:pPr>
        <w:ind w:left="6102" w:hanging="360"/>
      </w:pPr>
    </w:lvl>
    <w:lvl w:ilvl="7">
      <w:start w:val="1"/>
      <w:numFmt w:val="lowerLetter"/>
      <w:lvlText w:val="%8."/>
      <w:lvlJc w:val="left"/>
      <w:pPr>
        <w:ind w:left="6822" w:hanging="360"/>
      </w:pPr>
    </w:lvl>
    <w:lvl w:ilvl="8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BB"/>
    <w:rsid w:val="00053CF2"/>
    <w:rsid w:val="000959F6"/>
    <w:rsid w:val="000C343A"/>
    <w:rsid w:val="000E2AF1"/>
    <w:rsid w:val="000E6EBB"/>
    <w:rsid w:val="00104574"/>
    <w:rsid w:val="0010586E"/>
    <w:rsid w:val="001349FC"/>
    <w:rsid w:val="00136105"/>
    <w:rsid w:val="001368D5"/>
    <w:rsid w:val="002027C2"/>
    <w:rsid w:val="00284D7A"/>
    <w:rsid w:val="002D1C4F"/>
    <w:rsid w:val="002D2F12"/>
    <w:rsid w:val="0032157D"/>
    <w:rsid w:val="00321902"/>
    <w:rsid w:val="00366113"/>
    <w:rsid w:val="00397E1B"/>
    <w:rsid w:val="003A4FAB"/>
    <w:rsid w:val="003B1DCC"/>
    <w:rsid w:val="003B3337"/>
    <w:rsid w:val="003B7390"/>
    <w:rsid w:val="00442647"/>
    <w:rsid w:val="00472D66"/>
    <w:rsid w:val="00483BD0"/>
    <w:rsid w:val="004A7F34"/>
    <w:rsid w:val="004C4411"/>
    <w:rsid w:val="004C7637"/>
    <w:rsid w:val="004D09E7"/>
    <w:rsid w:val="00500EC1"/>
    <w:rsid w:val="00507C20"/>
    <w:rsid w:val="00580F3F"/>
    <w:rsid w:val="005962A8"/>
    <w:rsid w:val="005B7948"/>
    <w:rsid w:val="005E41EF"/>
    <w:rsid w:val="005F14C5"/>
    <w:rsid w:val="00605C3E"/>
    <w:rsid w:val="006228AC"/>
    <w:rsid w:val="0063560B"/>
    <w:rsid w:val="006971B0"/>
    <w:rsid w:val="006D5E4A"/>
    <w:rsid w:val="0072627B"/>
    <w:rsid w:val="00741BB0"/>
    <w:rsid w:val="007827FE"/>
    <w:rsid w:val="007A0EA8"/>
    <w:rsid w:val="008567DA"/>
    <w:rsid w:val="0087405B"/>
    <w:rsid w:val="00877A20"/>
    <w:rsid w:val="008831CC"/>
    <w:rsid w:val="00884BEF"/>
    <w:rsid w:val="008B336D"/>
    <w:rsid w:val="008C70A5"/>
    <w:rsid w:val="008D208D"/>
    <w:rsid w:val="008D5C3C"/>
    <w:rsid w:val="0094328F"/>
    <w:rsid w:val="00950B32"/>
    <w:rsid w:val="009620DC"/>
    <w:rsid w:val="00981E71"/>
    <w:rsid w:val="009A1539"/>
    <w:rsid w:val="009E13C2"/>
    <w:rsid w:val="00A2708B"/>
    <w:rsid w:val="00A36624"/>
    <w:rsid w:val="00A56AB8"/>
    <w:rsid w:val="00AA2FC9"/>
    <w:rsid w:val="00AB0C42"/>
    <w:rsid w:val="00B01DF9"/>
    <w:rsid w:val="00B22C33"/>
    <w:rsid w:val="00B248D3"/>
    <w:rsid w:val="00B67D0E"/>
    <w:rsid w:val="00BF7919"/>
    <w:rsid w:val="00C14C81"/>
    <w:rsid w:val="00C541A3"/>
    <w:rsid w:val="00C56862"/>
    <w:rsid w:val="00CC4BDC"/>
    <w:rsid w:val="00D6622D"/>
    <w:rsid w:val="00D710F3"/>
    <w:rsid w:val="00D97B16"/>
    <w:rsid w:val="00DE47E9"/>
    <w:rsid w:val="00DE5A92"/>
    <w:rsid w:val="00E14600"/>
    <w:rsid w:val="00E20876"/>
    <w:rsid w:val="00E41161"/>
    <w:rsid w:val="00E556F1"/>
    <w:rsid w:val="00F26CDD"/>
    <w:rsid w:val="00FB49EC"/>
    <w:rsid w:val="00FF23A3"/>
    <w:rsid w:val="00FF28A4"/>
    <w:rsid w:val="00FF2EAA"/>
    <w:rsid w:val="08D60D06"/>
    <w:rsid w:val="37C2212A"/>
    <w:rsid w:val="55B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</w:style>
  <w:style w:type="character" w:customStyle="1" w:styleId="a6">
    <w:name w:val="Основной текст Знак"/>
    <w:basedOn w:val="a0"/>
    <w:link w:val="a5"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">
    <w:name w:val="Основной текст Знак1"/>
    <w:basedOn w:val="a0"/>
    <w:uiPriority w:val="99"/>
    <w:semiHidden/>
    <w:qFormat/>
  </w:style>
  <w:style w:type="table" w:customStyle="1" w:styleId="GridTableLight">
    <w:name w:val="Grid Table Light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</w:style>
  <w:style w:type="character" w:customStyle="1" w:styleId="a6">
    <w:name w:val="Основной текст Знак"/>
    <w:basedOn w:val="a0"/>
    <w:link w:val="a5"/>
    <w:locked/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1">
    <w:name w:val="Основной текст Знак1"/>
    <w:basedOn w:val="a0"/>
    <w:uiPriority w:val="99"/>
    <w:semiHidden/>
    <w:qFormat/>
  </w:style>
  <w:style w:type="table" w:customStyle="1" w:styleId="GridTableLight">
    <w:name w:val="Grid Table Light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13822</Words>
  <Characters>7879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Сергіївна</cp:lastModifiedBy>
  <cp:revision>2</cp:revision>
  <cp:lastPrinted>2026-05-15T12:06:00Z</cp:lastPrinted>
  <dcterms:created xsi:type="dcterms:W3CDTF">2026-05-15T12:10:00Z</dcterms:created>
  <dcterms:modified xsi:type="dcterms:W3CDTF">2026-05-15T12:10:00Z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D4C4F2AF62274EF9B36D42BFF47D19E1_12</vt:lpwstr>
  </property>
</Properties>
</file>