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0A" w:rsidRPr="002C5070" w:rsidRDefault="00E0720A" w:rsidP="002F44FF">
      <w:pPr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586935160" r:id="rId5"/>
        </w:object>
      </w:r>
      <w:r>
        <w:rPr>
          <w:lang w:val="uk-UA"/>
        </w:rPr>
        <w:t xml:space="preserve">                                                                   </w:t>
      </w:r>
    </w:p>
    <w:p w:rsidR="00E0720A" w:rsidRPr="005F27BA" w:rsidRDefault="00E0720A" w:rsidP="002C5070">
      <w:pPr>
        <w:jc w:val="center"/>
        <w:rPr>
          <w:b/>
          <w:sz w:val="32"/>
          <w:szCs w:val="32"/>
          <w:lang w:val="uk-UA"/>
        </w:rPr>
      </w:pPr>
      <w:r w:rsidRPr="005F27BA">
        <w:rPr>
          <w:b/>
          <w:sz w:val="32"/>
          <w:szCs w:val="32"/>
          <w:lang w:val="uk-UA"/>
        </w:rPr>
        <w:t>УКРАЇНА</w:t>
      </w:r>
    </w:p>
    <w:p w:rsidR="00E0720A" w:rsidRPr="00504381" w:rsidRDefault="00E0720A" w:rsidP="002C5070">
      <w:pPr>
        <w:jc w:val="center"/>
        <w:rPr>
          <w:b/>
          <w:sz w:val="28"/>
          <w:szCs w:val="28"/>
          <w:lang w:val="uk-UA"/>
        </w:rPr>
      </w:pPr>
      <w:r w:rsidRPr="00504381">
        <w:rPr>
          <w:b/>
          <w:sz w:val="28"/>
          <w:szCs w:val="28"/>
          <w:lang w:val="uk-UA"/>
        </w:rPr>
        <w:t>ТЯЧІВСЬКАМІСЬКА РАДА</w:t>
      </w:r>
    </w:p>
    <w:p w:rsidR="00E0720A" w:rsidRDefault="00E0720A" w:rsidP="002C50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Двадцята сесія сьомого</w:t>
      </w:r>
      <w:r w:rsidRPr="00504381">
        <w:rPr>
          <w:b/>
          <w:sz w:val="32"/>
          <w:szCs w:val="32"/>
          <w:lang w:val="uk-UA"/>
        </w:rPr>
        <w:t xml:space="preserve"> скликання</w:t>
      </w:r>
    </w:p>
    <w:p w:rsidR="00E0720A" w:rsidRPr="00504381" w:rsidRDefault="00E0720A" w:rsidP="002C5070">
      <w:pPr>
        <w:jc w:val="center"/>
        <w:rPr>
          <w:b/>
          <w:sz w:val="32"/>
          <w:szCs w:val="32"/>
          <w:lang w:val="uk-UA"/>
        </w:rPr>
      </w:pPr>
      <w:r w:rsidRPr="00504381">
        <w:rPr>
          <w:b/>
          <w:sz w:val="32"/>
          <w:szCs w:val="32"/>
          <w:lang w:val="uk-UA"/>
        </w:rPr>
        <w:t>РІШЕННЯ</w:t>
      </w:r>
    </w:p>
    <w:p w:rsidR="00E0720A" w:rsidRPr="00504381" w:rsidRDefault="00E0720A" w:rsidP="002F44FF">
      <w:pPr>
        <w:rPr>
          <w:lang w:val="uk-UA"/>
        </w:rPr>
      </w:pPr>
    </w:p>
    <w:p w:rsidR="00E0720A" w:rsidRPr="00DD2CB5" w:rsidRDefault="00E0720A" w:rsidP="002F44FF">
      <w:pPr>
        <w:rPr>
          <w:sz w:val="28"/>
          <w:szCs w:val="28"/>
          <w:lang w:val="uk-UA"/>
        </w:rPr>
      </w:pPr>
    </w:p>
    <w:p w:rsidR="00E0720A" w:rsidRPr="00DD2CB5" w:rsidRDefault="00E0720A" w:rsidP="002F44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 грудня 2017 року № 2067</w:t>
      </w:r>
    </w:p>
    <w:p w:rsidR="00E0720A" w:rsidRPr="00DD2CB5" w:rsidRDefault="00E0720A" w:rsidP="002F44FF">
      <w:pPr>
        <w:rPr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DD2CB5">
        <w:rPr>
          <w:sz w:val="28"/>
          <w:szCs w:val="28"/>
          <w:lang w:val="uk-UA"/>
        </w:rPr>
        <w:t>Тячів</w:t>
      </w:r>
    </w:p>
    <w:p w:rsidR="00E0720A" w:rsidRPr="00DD2CB5" w:rsidRDefault="00E0720A" w:rsidP="002F44FF">
      <w:pPr>
        <w:rPr>
          <w:sz w:val="28"/>
          <w:szCs w:val="28"/>
          <w:lang w:val="uk-UA"/>
        </w:rPr>
      </w:pPr>
    </w:p>
    <w:p w:rsidR="00E0720A" w:rsidRPr="00DD2CB5" w:rsidRDefault="00E0720A" w:rsidP="002F44FF">
      <w:pPr>
        <w:rPr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>Про затвердження Програми  транскордонного</w:t>
      </w:r>
    </w:p>
    <w:p w:rsidR="00E0720A" w:rsidRPr="00DD2CB5" w:rsidRDefault="00E0720A" w:rsidP="002F44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DD2CB5">
        <w:rPr>
          <w:sz w:val="28"/>
          <w:szCs w:val="28"/>
          <w:lang w:val="uk-UA"/>
        </w:rPr>
        <w:t xml:space="preserve">півробітництва   Тячівської   міської </w:t>
      </w:r>
      <w:r>
        <w:rPr>
          <w:sz w:val="28"/>
          <w:szCs w:val="28"/>
          <w:lang w:val="uk-UA"/>
        </w:rPr>
        <w:t xml:space="preserve"> </w:t>
      </w:r>
      <w:r w:rsidRPr="00DD2CB5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 </w:t>
      </w:r>
      <w:r w:rsidRPr="00DD2CB5">
        <w:rPr>
          <w:sz w:val="28"/>
          <w:szCs w:val="28"/>
          <w:lang w:val="uk-UA"/>
        </w:rPr>
        <w:t>та</w:t>
      </w:r>
    </w:p>
    <w:p w:rsidR="00E0720A" w:rsidRPr="00DD2CB5" w:rsidRDefault="00E0720A" w:rsidP="002F44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DD2CB5">
        <w:rPr>
          <w:sz w:val="28"/>
          <w:szCs w:val="28"/>
          <w:lang w:val="uk-UA"/>
        </w:rPr>
        <w:t>півпраці  населених</w:t>
      </w:r>
      <w:r>
        <w:rPr>
          <w:sz w:val="28"/>
          <w:szCs w:val="28"/>
          <w:lang w:val="uk-UA"/>
        </w:rPr>
        <w:t xml:space="preserve"> </w:t>
      </w:r>
      <w:r w:rsidRPr="00DD2CB5">
        <w:rPr>
          <w:sz w:val="28"/>
          <w:szCs w:val="28"/>
          <w:lang w:val="uk-UA"/>
        </w:rPr>
        <w:t xml:space="preserve"> пунктів  Тячівської   ОТГ </w:t>
      </w:r>
    </w:p>
    <w:p w:rsidR="00E0720A" w:rsidRDefault="00E0720A" w:rsidP="002F44FF">
      <w:pPr>
        <w:rPr>
          <w:b/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 xml:space="preserve">з містами-побратимами (партнерами) </w:t>
      </w:r>
      <w:r>
        <w:rPr>
          <w:sz w:val="28"/>
          <w:szCs w:val="28"/>
          <w:lang w:val="uk-UA"/>
        </w:rPr>
        <w:t xml:space="preserve"> </w:t>
      </w:r>
      <w:r w:rsidRPr="002F44FF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 xml:space="preserve"> </w:t>
      </w:r>
      <w:r w:rsidRPr="002F44FF">
        <w:rPr>
          <w:b/>
          <w:sz w:val="28"/>
          <w:szCs w:val="28"/>
          <w:lang w:val="uk-UA"/>
        </w:rPr>
        <w:t xml:space="preserve">2018 </w:t>
      </w:r>
    </w:p>
    <w:p w:rsidR="00E0720A" w:rsidRPr="002F44FF" w:rsidRDefault="00E0720A" w:rsidP="002F44F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– 2020 роки.</w:t>
      </w:r>
    </w:p>
    <w:p w:rsidR="00E0720A" w:rsidRPr="00DD2CB5" w:rsidRDefault="00E0720A" w:rsidP="002F44FF">
      <w:pPr>
        <w:ind w:firstLine="708"/>
        <w:jc w:val="both"/>
        <w:rPr>
          <w:sz w:val="28"/>
          <w:szCs w:val="28"/>
          <w:lang w:val="uk-UA"/>
        </w:rPr>
      </w:pPr>
    </w:p>
    <w:p w:rsidR="00E0720A" w:rsidRPr="00DD2CB5" w:rsidRDefault="00E0720A" w:rsidP="002F44FF">
      <w:pPr>
        <w:tabs>
          <w:tab w:val="left" w:pos="900"/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 xml:space="preserve">    З метою забезпечення організації роботи населених пунктів Тячівської міської об’єднаної територіальної громади з містами-побратимами (партнерами) країн Європи у сфері обміну офіційними делегаціями, організованими групами дітей та дорослих територіальної громади у напрямку обміну досвідом у сферах освіти, культури, спорту, туризму, дозвілля тощо, діяльності відділів виконавчого комітету, комунальних підприємств та об’єднаної громади в цілому, а також з метою участі у міжнародних грантових та фінансових проектах в напрямку залучення іноземних інвестицій,  відповідно до ст.ст. 26,35 Закону України «Про місцеве самоврядування в Україні», ст.91 Бюджетного Кодексу України, </w:t>
      </w:r>
      <w:r>
        <w:rPr>
          <w:sz w:val="28"/>
          <w:szCs w:val="28"/>
          <w:lang w:val="uk-UA"/>
        </w:rPr>
        <w:t>двадцята</w:t>
      </w:r>
      <w:r w:rsidRPr="00DD2CB5">
        <w:rPr>
          <w:sz w:val="28"/>
          <w:szCs w:val="28"/>
          <w:lang w:val="uk-UA"/>
        </w:rPr>
        <w:t xml:space="preserve"> сесія сьомого скликання Тячівської міської ради </w:t>
      </w:r>
    </w:p>
    <w:p w:rsidR="00E0720A" w:rsidRPr="00DD2CB5" w:rsidRDefault="00E0720A" w:rsidP="002F44FF">
      <w:pPr>
        <w:ind w:firstLine="708"/>
        <w:jc w:val="both"/>
        <w:rPr>
          <w:sz w:val="28"/>
          <w:szCs w:val="28"/>
          <w:lang w:val="uk-UA"/>
        </w:rPr>
      </w:pPr>
    </w:p>
    <w:p w:rsidR="00E0720A" w:rsidRPr="00DD2CB5" w:rsidRDefault="00E0720A" w:rsidP="002F44FF">
      <w:pPr>
        <w:ind w:firstLine="708"/>
        <w:jc w:val="center"/>
        <w:rPr>
          <w:b/>
          <w:sz w:val="28"/>
          <w:szCs w:val="28"/>
          <w:lang w:val="uk-UA"/>
        </w:rPr>
      </w:pPr>
      <w:r w:rsidRPr="00DD2CB5">
        <w:rPr>
          <w:b/>
          <w:sz w:val="28"/>
          <w:szCs w:val="28"/>
          <w:lang w:val="uk-UA"/>
        </w:rPr>
        <w:t>в и р і ш и л а:</w:t>
      </w:r>
    </w:p>
    <w:p w:rsidR="00E0720A" w:rsidRPr="00DD2CB5" w:rsidRDefault="00E0720A" w:rsidP="002F44FF">
      <w:pPr>
        <w:jc w:val="both"/>
        <w:rPr>
          <w:sz w:val="28"/>
          <w:szCs w:val="28"/>
          <w:lang w:val="uk-UA"/>
        </w:rPr>
      </w:pPr>
    </w:p>
    <w:p w:rsidR="00E0720A" w:rsidRPr="00DD2CB5" w:rsidRDefault="00E0720A" w:rsidP="002F44FF">
      <w:pPr>
        <w:jc w:val="both"/>
        <w:rPr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ab/>
        <w:t xml:space="preserve">    1.Затвердити Програму транскордонного співробітництва Тячівської міської ради та співпраці населених пунктів Тячівської об’єднаної територіальної громади  з містами-побратимами (партнерами) </w:t>
      </w:r>
      <w:r w:rsidRPr="00F1179F">
        <w:rPr>
          <w:b/>
          <w:sz w:val="28"/>
          <w:szCs w:val="28"/>
          <w:lang w:val="uk-UA"/>
        </w:rPr>
        <w:t xml:space="preserve">на </w:t>
      </w:r>
      <w:r w:rsidRPr="002F44FF">
        <w:rPr>
          <w:b/>
          <w:sz w:val="28"/>
          <w:szCs w:val="28"/>
          <w:lang w:val="uk-UA"/>
        </w:rPr>
        <w:t>2018</w:t>
      </w:r>
      <w:r>
        <w:rPr>
          <w:b/>
          <w:sz w:val="28"/>
          <w:szCs w:val="28"/>
          <w:lang w:val="uk-UA"/>
        </w:rPr>
        <w:t xml:space="preserve"> – 2020 роки</w:t>
      </w:r>
      <w:r w:rsidRPr="00DD2CB5">
        <w:rPr>
          <w:sz w:val="28"/>
          <w:szCs w:val="28"/>
          <w:lang w:val="uk-UA"/>
        </w:rPr>
        <w:t xml:space="preserve"> (додається).</w:t>
      </w:r>
    </w:p>
    <w:p w:rsidR="00E0720A" w:rsidRPr="00DD2CB5" w:rsidRDefault="00E0720A" w:rsidP="002F44FF">
      <w:pPr>
        <w:jc w:val="both"/>
        <w:rPr>
          <w:sz w:val="28"/>
          <w:szCs w:val="28"/>
          <w:lang w:val="uk-UA"/>
        </w:rPr>
      </w:pPr>
    </w:p>
    <w:p w:rsidR="00E0720A" w:rsidRPr="00F1179F" w:rsidRDefault="00E0720A" w:rsidP="002F44FF">
      <w:pPr>
        <w:jc w:val="both"/>
        <w:rPr>
          <w:b/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ab/>
        <w:t xml:space="preserve">    2.Фінансування заходів зазначеної Програми проводити за рахунок коштів, передбачених у міському бюджеті </w:t>
      </w:r>
      <w:r w:rsidRPr="00F1179F">
        <w:rPr>
          <w:b/>
          <w:sz w:val="28"/>
          <w:szCs w:val="28"/>
          <w:lang w:val="uk-UA"/>
        </w:rPr>
        <w:t xml:space="preserve">на </w:t>
      </w:r>
      <w:r w:rsidRPr="002F44FF">
        <w:rPr>
          <w:b/>
          <w:sz w:val="28"/>
          <w:szCs w:val="28"/>
          <w:lang w:val="uk-UA"/>
        </w:rPr>
        <w:t xml:space="preserve">2018 </w:t>
      </w:r>
      <w:r>
        <w:rPr>
          <w:b/>
          <w:sz w:val="28"/>
          <w:szCs w:val="28"/>
          <w:lang w:val="uk-UA"/>
        </w:rPr>
        <w:t>– 2020 роки</w:t>
      </w:r>
      <w:r w:rsidRPr="00F1179F">
        <w:rPr>
          <w:b/>
          <w:sz w:val="28"/>
          <w:szCs w:val="28"/>
          <w:lang w:val="uk-UA"/>
        </w:rPr>
        <w:t>.</w:t>
      </w:r>
    </w:p>
    <w:p w:rsidR="00E0720A" w:rsidRPr="00DD2CB5" w:rsidRDefault="00E0720A" w:rsidP="002F44FF">
      <w:pPr>
        <w:rPr>
          <w:sz w:val="28"/>
          <w:szCs w:val="28"/>
          <w:lang w:val="uk-UA"/>
        </w:rPr>
      </w:pPr>
    </w:p>
    <w:p w:rsidR="00E0720A" w:rsidRDefault="00E0720A" w:rsidP="002F44FF">
      <w:pPr>
        <w:ind w:firstLine="708"/>
        <w:jc w:val="both"/>
        <w:rPr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 xml:space="preserve">    3. </w:t>
      </w:r>
      <w:r w:rsidRPr="00DD2CB5">
        <w:rPr>
          <w:rStyle w:val="11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DD2CB5">
        <w:rPr>
          <w:sz w:val="28"/>
          <w:szCs w:val="28"/>
          <w:lang w:val="uk-UA"/>
        </w:rPr>
        <w:t>депутатську комісію з питань національних відносин, міжнародних та зовнішньоекономічних зв’язків (голова Амбруш П.О.) та  заступника міського голови з питань виконавчих органів ради Мийсароша Т.С.</w:t>
      </w:r>
    </w:p>
    <w:p w:rsidR="00E0720A" w:rsidRDefault="00E0720A" w:rsidP="002F44FF">
      <w:pPr>
        <w:jc w:val="both"/>
        <w:rPr>
          <w:sz w:val="28"/>
          <w:szCs w:val="28"/>
          <w:lang w:val="uk-UA"/>
        </w:rPr>
      </w:pPr>
    </w:p>
    <w:p w:rsidR="00E0720A" w:rsidRDefault="00E0720A" w:rsidP="002F44FF">
      <w:pPr>
        <w:jc w:val="both"/>
        <w:rPr>
          <w:sz w:val="28"/>
          <w:szCs w:val="28"/>
          <w:lang w:val="uk-UA"/>
        </w:rPr>
      </w:pPr>
    </w:p>
    <w:p w:rsidR="00E0720A" w:rsidRPr="00DD2CB5" w:rsidRDefault="00E0720A" w:rsidP="002F44FF">
      <w:pPr>
        <w:jc w:val="both"/>
        <w:rPr>
          <w:sz w:val="28"/>
          <w:szCs w:val="28"/>
          <w:lang w:val="uk-UA"/>
        </w:rPr>
      </w:pPr>
      <w:r w:rsidRPr="00DD2CB5">
        <w:rPr>
          <w:sz w:val="28"/>
          <w:szCs w:val="28"/>
          <w:lang w:val="uk-UA"/>
        </w:rPr>
        <w:t xml:space="preserve">   Міський голова</w:t>
      </w:r>
      <w:r w:rsidRPr="00DD2CB5">
        <w:rPr>
          <w:sz w:val="28"/>
          <w:szCs w:val="28"/>
          <w:lang w:val="uk-UA"/>
        </w:rPr>
        <w:tab/>
      </w:r>
      <w:r w:rsidRPr="00DD2CB5">
        <w:rPr>
          <w:sz w:val="28"/>
          <w:szCs w:val="28"/>
          <w:lang w:val="uk-UA"/>
        </w:rPr>
        <w:tab/>
      </w:r>
      <w:r w:rsidRPr="00DD2CB5">
        <w:rPr>
          <w:sz w:val="28"/>
          <w:szCs w:val="28"/>
          <w:lang w:val="uk-UA"/>
        </w:rPr>
        <w:tab/>
      </w:r>
      <w:r w:rsidRPr="00DD2CB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Pr="00DD2CB5">
        <w:rPr>
          <w:sz w:val="28"/>
          <w:szCs w:val="28"/>
          <w:lang w:val="uk-UA"/>
        </w:rPr>
        <w:tab/>
        <w:t>І.І.Ковач</w:t>
      </w:r>
    </w:p>
    <w:p w:rsidR="00E0720A" w:rsidRDefault="00E0720A" w:rsidP="002F44FF">
      <w:pPr>
        <w:ind w:firstLine="708"/>
        <w:rPr>
          <w:sz w:val="28"/>
          <w:szCs w:val="28"/>
          <w:lang w:val="uk-UA"/>
        </w:rPr>
      </w:pPr>
    </w:p>
    <w:p w:rsidR="00E0720A" w:rsidRPr="00DD2CB5" w:rsidRDefault="00E0720A" w:rsidP="002F44FF">
      <w:pPr>
        <w:ind w:firstLine="708"/>
        <w:rPr>
          <w:sz w:val="28"/>
          <w:szCs w:val="28"/>
          <w:lang w:val="uk-UA"/>
        </w:rPr>
      </w:pPr>
    </w:p>
    <w:p w:rsidR="00E0720A" w:rsidRDefault="00E0720A" w:rsidP="002F44FF">
      <w:pPr>
        <w:ind w:left="6120" w:firstLine="708"/>
        <w:rPr>
          <w:b/>
          <w:sz w:val="26"/>
          <w:szCs w:val="26"/>
          <w:lang w:val="uk-UA"/>
        </w:rPr>
      </w:pPr>
    </w:p>
    <w:p w:rsidR="00E0720A" w:rsidRDefault="00E0720A" w:rsidP="002F44FF">
      <w:pPr>
        <w:ind w:left="6120" w:firstLine="708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ЗАТВЕРДЖЕНО</w:t>
      </w:r>
    </w:p>
    <w:p w:rsidR="00E0720A" w:rsidRDefault="00E0720A" w:rsidP="00040057">
      <w:pPr>
        <w:ind w:left="6120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 xml:space="preserve">рішення </w:t>
      </w:r>
      <w:r>
        <w:rPr>
          <w:sz w:val="26"/>
          <w:szCs w:val="26"/>
          <w:lang w:val="uk-UA"/>
        </w:rPr>
        <w:t>двадцятої сесії</w:t>
      </w:r>
    </w:p>
    <w:p w:rsidR="00E0720A" w:rsidRDefault="00E0720A" w:rsidP="00040057">
      <w:pPr>
        <w:ind w:left="61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сьомого скликання</w:t>
      </w:r>
    </w:p>
    <w:p w:rsidR="00E0720A" w:rsidRPr="00D13BFF" w:rsidRDefault="00E0720A" w:rsidP="00040057">
      <w:pPr>
        <w:ind w:left="6120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>Тячівської міської ради</w:t>
      </w:r>
    </w:p>
    <w:p w:rsidR="00E0720A" w:rsidRDefault="00E0720A" w:rsidP="002F44F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</w:t>
      </w:r>
      <w:r w:rsidRPr="00D13BFF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15</w:t>
      </w:r>
      <w:r w:rsidRPr="00D13BFF">
        <w:rPr>
          <w:sz w:val="26"/>
          <w:szCs w:val="26"/>
          <w:lang w:val="uk-UA"/>
        </w:rPr>
        <w:t xml:space="preserve"> грудня 2017 року №</w:t>
      </w:r>
      <w:r>
        <w:rPr>
          <w:sz w:val="26"/>
          <w:szCs w:val="26"/>
          <w:lang w:val="uk-UA"/>
        </w:rPr>
        <w:t xml:space="preserve"> 2067</w:t>
      </w:r>
    </w:p>
    <w:p w:rsidR="00E0720A" w:rsidRPr="00D13BFF" w:rsidRDefault="00E0720A" w:rsidP="002F44FF">
      <w:pPr>
        <w:rPr>
          <w:sz w:val="26"/>
          <w:szCs w:val="26"/>
          <w:lang w:val="uk-UA"/>
        </w:rPr>
      </w:pPr>
    </w:p>
    <w:p w:rsidR="00E0720A" w:rsidRPr="00D13BFF" w:rsidRDefault="00E0720A" w:rsidP="002F44FF">
      <w:pPr>
        <w:jc w:val="center"/>
        <w:rPr>
          <w:b/>
          <w:sz w:val="26"/>
          <w:szCs w:val="26"/>
          <w:lang w:val="uk-UA"/>
        </w:rPr>
      </w:pPr>
      <w:r w:rsidRPr="00D13BFF">
        <w:rPr>
          <w:b/>
          <w:sz w:val="26"/>
          <w:szCs w:val="26"/>
          <w:lang w:val="uk-UA"/>
        </w:rPr>
        <w:t>ПРОГРАМА</w:t>
      </w:r>
    </w:p>
    <w:p w:rsidR="00E0720A" w:rsidRPr="00D13BFF" w:rsidRDefault="00E0720A" w:rsidP="002F44FF">
      <w:pPr>
        <w:jc w:val="center"/>
        <w:rPr>
          <w:b/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 xml:space="preserve">транскордонного співробітництва Тячівської міської ради та співпраці населених пунктів Тячівської ОТГ з містами-побратимами (партнерами) </w:t>
      </w:r>
      <w:r w:rsidRPr="00D13BFF">
        <w:rPr>
          <w:b/>
          <w:sz w:val="26"/>
          <w:szCs w:val="26"/>
          <w:lang w:val="uk-UA"/>
        </w:rPr>
        <w:t xml:space="preserve">на </w:t>
      </w:r>
      <w:r w:rsidRPr="002F44FF">
        <w:rPr>
          <w:b/>
          <w:sz w:val="28"/>
          <w:szCs w:val="28"/>
          <w:lang w:val="uk-UA"/>
        </w:rPr>
        <w:t xml:space="preserve">2018 </w:t>
      </w:r>
      <w:r>
        <w:rPr>
          <w:b/>
          <w:sz w:val="28"/>
          <w:szCs w:val="28"/>
          <w:lang w:val="uk-UA"/>
        </w:rPr>
        <w:t>– 2020 роки</w:t>
      </w:r>
    </w:p>
    <w:p w:rsidR="00E0720A" w:rsidRPr="00D13BFF" w:rsidRDefault="00E0720A" w:rsidP="002F44FF">
      <w:pPr>
        <w:jc w:val="center"/>
        <w:rPr>
          <w:sz w:val="26"/>
          <w:szCs w:val="26"/>
          <w:lang w:val="uk-UA"/>
        </w:rPr>
      </w:pPr>
    </w:p>
    <w:p w:rsidR="00E0720A" w:rsidRPr="00D13BFF" w:rsidRDefault="00E0720A" w:rsidP="002F44FF">
      <w:pPr>
        <w:jc w:val="center"/>
        <w:rPr>
          <w:b/>
          <w:sz w:val="26"/>
          <w:szCs w:val="26"/>
          <w:lang w:val="uk-UA"/>
        </w:rPr>
      </w:pPr>
      <w:r w:rsidRPr="00D13BFF">
        <w:rPr>
          <w:b/>
          <w:sz w:val="26"/>
          <w:szCs w:val="26"/>
          <w:lang w:val="uk-UA"/>
        </w:rPr>
        <w:t>І. Загальні положення.</w:t>
      </w:r>
    </w:p>
    <w:p w:rsidR="00E0720A" w:rsidRPr="00D13BFF" w:rsidRDefault="00E0720A" w:rsidP="002F44FF">
      <w:pPr>
        <w:jc w:val="both"/>
        <w:rPr>
          <w:sz w:val="26"/>
          <w:szCs w:val="26"/>
          <w:lang w:val="uk-UA"/>
        </w:rPr>
      </w:pPr>
      <w:r w:rsidRPr="00D13BFF">
        <w:rPr>
          <w:b/>
          <w:sz w:val="26"/>
          <w:szCs w:val="26"/>
          <w:lang w:val="uk-UA"/>
        </w:rPr>
        <w:tab/>
      </w:r>
      <w:r w:rsidRPr="00D13BFF">
        <w:rPr>
          <w:sz w:val="26"/>
          <w:szCs w:val="26"/>
          <w:lang w:val="uk-UA"/>
        </w:rPr>
        <w:t xml:space="preserve">Програма транскордонного співробітництва Тячівської міської ради та співпраці населених пунктів Тячівської ОТГ з містами-побратимами (партнерами) </w:t>
      </w:r>
      <w:r w:rsidRPr="00D13BFF">
        <w:rPr>
          <w:b/>
          <w:sz w:val="26"/>
          <w:szCs w:val="26"/>
          <w:lang w:val="uk-UA"/>
        </w:rPr>
        <w:t xml:space="preserve">на </w:t>
      </w:r>
      <w:r w:rsidRPr="002F44FF">
        <w:rPr>
          <w:b/>
          <w:sz w:val="28"/>
          <w:szCs w:val="28"/>
          <w:lang w:val="uk-UA"/>
        </w:rPr>
        <w:t xml:space="preserve">2018 </w:t>
      </w:r>
      <w:r>
        <w:rPr>
          <w:b/>
          <w:sz w:val="28"/>
          <w:szCs w:val="28"/>
          <w:lang w:val="uk-UA"/>
        </w:rPr>
        <w:t>– 2020 роки</w:t>
      </w:r>
      <w:r w:rsidRPr="00D13BFF">
        <w:rPr>
          <w:sz w:val="26"/>
          <w:szCs w:val="26"/>
          <w:lang w:val="uk-UA"/>
        </w:rPr>
        <w:t xml:space="preserve"> (далі – Програма) розроблена відповідно до Закону України «Про місцеве самоврядування в Україні», «Про співробітництво територіальних громад».</w:t>
      </w:r>
    </w:p>
    <w:p w:rsidR="00E0720A" w:rsidRPr="00D13BFF" w:rsidRDefault="00E0720A" w:rsidP="002F44FF">
      <w:pPr>
        <w:pStyle w:val="NormalWeb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D13BFF">
        <w:rPr>
          <w:rFonts w:ascii="Times New Roman" w:hAnsi="Times New Roman"/>
          <w:sz w:val="26"/>
          <w:szCs w:val="26"/>
          <w:lang w:val="uk-UA"/>
        </w:rPr>
        <w:t xml:space="preserve">Інформатизація світового співтовариства, глобалізація товарообмінних процесів, економічна, культурна й екологічна взаємозалежність різних регіонів створюють нові передумови для взаємодії міст Європи, збільшення впливу муніципальних влад на процеси світового розвитку. </w:t>
      </w:r>
    </w:p>
    <w:p w:rsidR="00E0720A" w:rsidRPr="00D13BFF" w:rsidRDefault="00E0720A" w:rsidP="002F44FF">
      <w:pPr>
        <w:pStyle w:val="NormalWeb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D13BFF">
        <w:rPr>
          <w:rFonts w:ascii="Times New Roman" w:hAnsi="Times New Roman"/>
          <w:sz w:val="26"/>
          <w:szCs w:val="26"/>
          <w:lang w:val="uk-UA"/>
        </w:rPr>
        <w:t xml:space="preserve">Усвідомлюючи значення процесів інтеграції та враховуючи потенційні можливості розвитку співробітництва між містами-побратимами з метою підвищення рівня соціально-економічного та культурного добробуту населення, Тячівською міською радою укладені угоди про співпрацю м. Тячів з містами-побратимами. Тому основними завданнями Програми є: </w:t>
      </w:r>
    </w:p>
    <w:p w:rsidR="00E0720A" w:rsidRPr="00D13BFF" w:rsidRDefault="00E0720A" w:rsidP="002F44FF">
      <w:pPr>
        <w:ind w:firstLine="708"/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>- підтримка та розширення існуючих зв’язків з містами Нодькалло, Ясберень, Вац, Болмозуйварош (Угорщина), Х</w:t>
      </w:r>
      <w:r w:rsidRPr="00D13BFF">
        <w:rPr>
          <w:sz w:val="26"/>
          <w:szCs w:val="26"/>
          <w:lang w:val="en-US"/>
        </w:rPr>
        <w:t>VIII</w:t>
      </w:r>
      <w:r w:rsidRPr="00D13BFF">
        <w:rPr>
          <w:sz w:val="26"/>
          <w:szCs w:val="26"/>
          <w:lang w:val="uk-UA"/>
        </w:rPr>
        <w:t xml:space="preserve"> районом м. Будапешт та містечком Боктоловрантгазо (Угорщина), містами Негрешть-Оаш (Румунія), Бардієво (Словаччина), Тушин (Польща), Яблунков (Чехія), Буча (Україна);</w:t>
      </w:r>
    </w:p>
    <w:p w:rsidR="00E0720A" w:rsidRPr="00D13BFF" w:rsidRDefault="00E0720A" w:rsidP="002F44FF">
      <w:pPr>
        <w:ind w:firstLine="708"/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>-відновлення зв’язків з містом Козінцборціко (Угорщина);</w:t>
      </w:r>
    </w:p>
    <w:p w:rsidR="00E0720A" w:rsidRPr="00D13BFF" w:rsidRDefault="00E0720A" w:rsidP="002F44FF">
      <w:pPr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 xml:space="preserve">- укладення угод про співпрацю з містами-партнерамиХотіборж та Наход (Чехія); </w:t>
      </w:r>
    </w:p>
    <w:p w:rsidR="00E0720A" w:rsidRDefault="00E0720A" w:rsidP="002F44FF">
      <w:pPr>
        <w:ind w:firstLine="708"/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>- налагодження нових міжнародних зв’язків та співпраці з новими містами, селищами, селами  в різних країнах Європи (Угорщина, Польща, Румунія, Чехія та інших).</w:t>
      </w:r>
    </w:p>
    <w:p w:rsidR="00E0720A" w:rsidRPr="00D13BFF" w:rsidRDefault="00E0720A" w:rsidP="002F44FF">
      <w:pPr>
        <w:ind w:firstLine="708"/>
        <w:jc w:val="both"/>
        <w:rPr>
          <w:sz w:val="26"/>
          <w:szCs w:val="26"/>
          <w:lang w:val="uk-UA"/>
        </w:rPr>
      </w:pPr>
    </w:p>
    <w:p w:rsidR="00E0720A" w:rsidRPr="00D13BFF" w:rsidRDefault="00E0720A" w:rsidP="002F44FF">
      <w:pPr>
        <w:ind w:firstLine="708"/>
        <w:jc w:val="center"/>
        <w:rPr>
          <w:b/>
          <w:sz w:val="26"/>
          <w:szCs w:val="26"/>
          <w:lang w:val="uk-UA"/>
        </w:rPr>
      </w:pPr>
      <w:r w:rsidRPr="00D13BFF">
        <w:rPr>
          <w:b/>
          <w:sz w:val="26"/>
          <w:szCs w:val="26"/>
          <w:lang w:val="uk-UA"/>
        </w:rPr>
        <w:t>ІІ. Мета Програми.</w:t>
      </w:r>
    </w:p>
    <w:p w:rsidR="00E0720A" w:rsidRPr="00D13BFF" w:rsidRDefault="00E0720A" w:rsidP="002F44FF">
      <w:pPr>
        <w:ind w:firstLine="708"/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 xml:space="preserve">Метою даної Програми є здійснення співробітництва: </w:t>
      </w:r>
    </w:p>
    <w:p w:rsidR="00E0720A" w:rsidRPr="00D13BFF" w:rsidRDefault="00E0720A" w:rsidP="002F44FF">
      <w:pPr>
        <w:ind w:firstLine="708"/>
        <w:jc w:val="both"/>
        <w:rPr>
          <w:b/>
          <w:i/>
          <w:sz w:val="26"/>
          <w:szCs w:val="26"/>
          <w:u w:val="single"/>
          <w:lang w:val="uk-UA"/>
        </w:rPr>
      </w:pPr>
      <w:r w:rsidRPr="00D13BFF">
        <w:rPr>
          <w:b/>
          <w:i/>
          <w:sz w:val="26"/>
          <w:szCs w:val="26"/>
          <w:u w:val="single"/>
        </w:rPr>
        <w:t>1. У сферіекономіки, транспорт</w:t>
      </w:r>
      <w:r w:rsidRPr="00D13BFF">
        <w:rPr>
          <w:b/>
          <w:i/>
          <w:sz w:val="26"/>
          <w:szCs w:val="26"/>
          <w:u w:val="single"/>
          <w:lang w:val="uk-UA"/>
        </w:rPr>
        <w:t>у</w:t>
      </w:r>
      <w:r w:rsidRPr="00D13BFF">
        <w:rPr>
          <w:b/>
          <w:i/>
          <w:sz w:val="26"/>
          <w:szCs w:val="26"/>
          <w:u w:val="single"/>
        </w:rPr>
        <w:t xml:space="preserve"> й торгівлі:</w:t>
      </w:r>
    </w:p>
    <w:p w:rsidR="00E0720A" w:rsidRPr="00D13BFF" w:rsidRDefault="00E0720A" w:rsidP="002F44FF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створення сприятливих умов</w:t>
      </w:r>
      <w:r w:rsidRPr="00D13BFF">
        <w:rPr>
          <w:sz w:val="26"/>
          <w:szCs w:val="26"/>
          <w:lang w:val="uk-UA"/>
        </w:rPr>
        <w:t xml:space="preserve"> в межах своїх повноважень для розширення взаємовигідного торговельно-економічного співробітництва, для здійснення спільної підприємн</w:t>
      </w:r>
      <w:r>
        <w:rPr>
          <w:sz w:val="26"/>
          <w:szCs w:val="26"/>
          <w:lang w:val="uk-UA"/>
        </w:rPr>
        <w:t>ицької, виробничо-господарської</w:t>
      </w:r>
      <w:r w:rsidRPr="00D13BFF">
        <w:rPr>
          <w:sz w:val="26"/>
          <w:szCs w:val="26"/>
          <w:lang w:val="uk-UA"/>
        </w:rPr>
        <w:t xml:space="preserve"> та інших видів діяльності підприємств і організацій Сторін, у тому числі - створення спільних підприємств.</w:t>
      </w:r>
    </w:p>
    <w:p w:rsidR="00E0720A" w:rsidRPr="00D13BFF" w:rsidRDefault="00E0720A" w:rsidP="002F44FF">
      <w:pPr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 xml:space="preserve">         </w:t>
      </w:r>
      <w:r>
        <w:rPr>
          <w:sz w:val="26"/>
          <w:szCs w:val="26"/>
          <w:lang w:val="uk-UA"/>
        </w:rPr>
        <w:t xml:space="preserve"> - надання необхідного сприяння в межах своїх повноважень</w:t>
      </w:r>
      <w:r w:rsidRPr="00D13BFF">
        <w:rPr>
          <w:sz w:val="26"/>
          <w:szCs w:val="26"/>
          <w:lang w:val="uk-UA"/>
        </w:rPr>
        <w:t xml:space="preserve"> розвитку товарних ринків, укладенню та реалізації прямих договорів (контрактів) між підприємствами та організаціями всіх форм власності на постачання сировини, продукції та надання послуг, участі підприємств м. Тячів та міст-побратимів у виставках та ярмарках, що організують Сторони.</w:t>
      </w:r>
    </w:p>
    <w:p w:rsidR="00E0720A" w:rsidRPr="00D13BFF" w:rsidRDefault="00E0720A" w:rsidP="002F44FF">
      <w:pPr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 xml:space="preserve">          - сприяння залученню інвестицій для реалізації на території інвестиційних проектів у пріоритетних видах економічної діяльності. </w:t>
      </w:r>
    </w:p>
    <w:p w:rsidR="00E0720A" w:rsidRDefault="00E0720A" w:rsidP="002F44FF">
      <w:pPr>
        <w:ind w:left="708"/>
        <w:jc w:val="both"/>
        <w:rPr>
          <w:b/>
          <w:i/>
          <w:sz w:val="26"/>
          <w:szCs w:val="26"/>
          <w:u w:val="single"/>
          <w:lang w:val="uk-UA"/>
        </w:rPr>
      </w:pPr>
    </w:p>
    <w:p w:rsidR="00E0720A" w:rsidRPr="00D13BFF" w:rsidRDefault="00E0720A" w:rsidP="002F44FF">
      <w:pPr>
        <w:ind w:left="708"/>
        <w:jc w:val="both"/>
        <w:rPr>
          <w:b/>
          <w:i/>
          <w:sz w:val="26"/>
          <w:szCs w:val="26"/>
          <w:lang w:val="uk-UA"/>
        </w:rPr>
      </w:pPr>
      <w:r w:rsidRPr="004B5673">
        <w:rPr>
          <w:b/>
          <w:i/>
          <w:sz w:val="26"/>
          <w:szCs w:val="26"/>
          <w:u w:val="single"/>
          <w:lang w:val="uk-UA"/>
        </w:rPr>
        <w:t>2. У сферіміськогоуправління:</w:t>
      </w:r>
    </w:p>
    <w:p w:rsidR="00E0720A" w:rsidRDefault="00E0720A" w:rsidP="002F44FF">
      <w:pPr>
        <w:pStyle w:val="NormalWeb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4B5673">
        <w:rPr>
          <w:rFonts w:ascii="Times New Roman" w:hAnsi="Times New Roman"/>
          <w:sz w:val="26"/>
          <w:szCs w:val="26"/>
          <w:lang w:val="uk-UA"/>
        </w:rPr>
        <w:t>-підтрим</w:t>
      </w:r>
      <w:r w:rsidRPr="00D13BFF">
        <w:rPr>
          <w:rFonts w:ascii="Times New Roman" w:hAnsi="Times New Roman"/>
          <w:sz w:val="26"/>
          <w:szCs w:val="26"/>
          <w:lang w:val="uk-UA"/>
        </w:rPr>
        <w:t>ка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B5673">
        <w:rPr>
          <w:rFonts w:ascii="Times New Roman" w:hAnsi="Times New Roman"/>
          <w:sz w:val="26"/>
          <w:szCs w:val="26"/>
          <w:lang w:val="uk-UA"/>
        </w:rPr>
        <w:t>ділов</w:t>
      </w:r>
      <w:r w:rsidRPr="00D13BFF">
        <w:rPr>
          <w:rFonts w:ascii="Times New Roman" w:hAnsi="Times New Roman"/>
          <w:sz w:val="26"/>
          <w:szCs w:val="26"/>
          <w:lang w:val="uk-UA"/>
        </w:rPr>
        <w:t>ого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B5673">
        <w:rPr>
          <w:rFonts w:ascii="Times New Roman" w:hAnsi="Times New Roman"/>
          <w:sz w:val="26"/>
          <w:szCs w:val="26"/>
          <w:lang w:val="uk-UA"/>
        </w:rPr>
        <w:t>співробітництв</w:t>
      </w:r>
      <w:r w:rsidRPr="00D13BFF">
        <w:rPr>
          <w:rFonts w:ascii="Times New Roman" w:hAnsi="Times New Roman"/>
          <w:sz w:val="26"/>
          <w:szCs w:val="26"/>
          <w:lang w:val="uk-UA"/>
        </w:rPr>
        <w:t>а</w:t>
      </w:r>
      <w:r w:rsidRPr="004B5673">
        <w:rPr>
          <w:rFonts w:ascii="Times New Roman" w:hAnsi="Times New Roman"/>
          <w:sz w:val="26"/>
          <w:szCs w:val="26"/>
          <w:lang w:val="uk-UA"/>
        </w:rPr>
        <w:t xml:space="preserve"> в питаннях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B5673">
        <w:rPr>
          <w:rFonts w:ascii="Times New Roman" w:hAnsi="Times New Roman"/>
          <w:sz w:val="26"/>
          <w:szCs w:val="26"/>
          <w:lang w:val="uk-UA"/>
        </w:rPr>
        <w:t>місцевого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B5673">
        <w:rPr>
          <w:rFonts w:ascii="Times New Roman" w:hAnsi="Times New Roman"/>
          <w:sz w:val="26"/>
          <w:szCs w:val="26"/>
          <w:lang w:val="uk-UA"/>
        </w:rPr>
        <w:t>самоврядування та розвитку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B5673">
        <w:rPr>
          <w:rFonts w:ascii="Times New Roman" w:hAnsi="Times New Roman"/>
          <w:sz w:val="26"/>
          <w:szCs w:val="26"/>
          <w:lang w:val="uk-UA"/>
        </w:rPr>
        <w:t>муніципального права</w:t>
      </w:r>
      <w:r w:rsidRPr="00D13BFF">
        <w:rPr>
          <w:rFonts w:ascii="Times New Roman" w:hAnsi="Times New Roman"/>
          <w:sz w:val="26"/>
          <w:szCs w:val="26"/>
          <w:lang w:val="uk-UA"/>
        </w:rPr>
        <w:t>;</w:t>
      </w:r>
    </w:p>
    <w:p w:rsidR="00E0720A" w:rsidRPr="00D13BFF" w:rsidRDefault="00E0720A" w:rsidP="002F44FF">
      <w:pPr>
        <w:pStyle w:val="NormalWeb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0720A" w:rsidRPr="00D13BFF" w:rsidRDefault="00E0720A" w:rsidP="002F44FF">
      <w:pPr>
        <w:pStyle w:val="NormalWeb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  <w:lang w:val="uk-UA"/>
        </w:rPr>
      </w:pPr>
      <w:r w:rsidRPr="00D13BFF">
        <w:rPr>
          <w:rFonts w:ascii="Times New Roman" w:hAnsi="Times New Roman"/>
          <w:b/>
          <w:i/>
          <w:sz w:val="26"/>
          <w:szCs w:val="26"/>
          <w:u w:val="single"/>
        </w:rPr>
        <w:t>3. У сферіосвіти, науки, культури, охорониздоров'я, спорту й туризму:</w:t>
      </w:r>
    </w:p>
    <w:p w:rsidR="00E0720A" w:rsidRPr="00D13BFF" w:rsidRDefault="00E0720A" w:rsidP="002F44FF">
      <w:pPr>
        <w:pStyle w:val="NormalWeb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D13BFF">
        <w:rPr>
          <w:rFonts w:ascii="Times New Roman" w:hAnsi="Times New Roman"/>
          <w:sz w:val="26"/>
          <w:szCs w:val="26"/>
        </w:rPr>
        <w:t>- сприя</w:t>
      </w:r>
      <w:r w:rsidRPr="00D13BFF">
        <w:rPr>
          <w:rFonts w:ascii="Times New Roman" w:hAnsi="Times New Roman"/>
          <w:sz w:val="26"/>
          <w:szCs w:val="26"/>
          <w:lang w:val="uk-UA"/>
        </w:rPr>
        <w:t>ння</w:t>
      </w:r>
      <w:r w:rsidRPr="00D13BFF">
        <w:rPr>
          <w:rFonts w:ascii="Times New Roman" w:hAnsi="Times New Roman"/>
          <w:sz w:val="26"/>
          <w:szCs w:val="26"/>
        </w:rPr>
        <w:t>обмінуделегаціями та колективами в галузікультури, туризму та рекреації, участіспортсменів у змаганнях, щопроводять</w:t>
      </w:r>
      <w:r w:rsidRPr="00D13BFF">
        <w:rPr>
          <w:rFonts w:ascii="Times New Roman" w:hAnsi="Times New Roman"/>
          <w:sz w:val="26"/>
          <w:szCs w:val="26"/>
          <w:lang w:val="uk-UA"/>
        </w:rPr>
        <w:t>ся</w:t>
      </w:r>
      <w:r w:rsidRPr="00D13BFF">
        <w:rPr>
          <w:rFonts w:ascii="Times New Roman" w:hAnsi="Times New Roman"/>
          <w:sz w:val="26"/>
          <w:szCs w:val="26"/>
        </w:rPr>
        <w:t xml:space="preserve"> сторон</w:t>
      </w:r>
      <w:r w:rsidRPr="00D13BFF">
        <w:rPr>
          <w:rFonts w:ascii="Times New Roman" w:hAnsi="Times New Roman"/>
          <w:sz w:val="26"/>
          <w:szCs w:val="26"/>
          <w:lang w:val="uk-UA"/>
        </w:rPr>
        <w:t>ами;</w:t>
      </w:r>
    </w:p>
    <w:p w:rsidR="00E0720A" w:rsidRPr="00D13BFF" w:rsidRDefault="00E0720A" w:rsidP="002F44FF">
      <w:pPr>
        <w:pStyle w:val="NormalWeb"/>
        <w:ind w:firstLine="133"/>
        <w:jc w:val="both"/>
        <w:rPr>
          <w:rFonts w:ascii="Times New Roman" w:hAnsi="Times New Roman"/>
          <w:sz w:val="26"/>
          <w:szCs w:val="26"/>
          <w:lang w:val="uk-UA"/>
        </w:rPr>
      </w:pPr>
      <w:r w:rsidRPr="00D13BFF">
        <w:rPr>
          <w:rFonts w:ascii="Times New Roman" w:hAnsi="Times New Roman"/>
          <w:sz w:val="26"/>
          <w:szCs w:val="26"/>
          <w:lang w:val="uk-UA"/>
        </w:rPr>
        <w:t xml:space="preserve">        - сприяння обміну досвідом у галузі освіти, науки та охорони здоров'я, результатами досліджень, публікаціями та інформацією науково-технічного й іншого характеру, взаємодія у підготовці наукових кадрів, участь у проведенні спільних семінарів, симпозіумів, конференцій тощо.</w:t>
      </w:r>
    </w:p>
    <w:p w:rsidR="00E0720A" w:rsidRPr="00D13BFF" w:rsidRDefault="00E0720A" w:rsidP="00C87CFF">
      <w:pPr>
        <w:pStyle w:val="NormalWeb"/>
        <w:ind w:left="133" w:firstLine="575"/>
        <w:rPr>
          <w:rFonts w:ascii="Times New Roman" w:hAnsi="Times New Roman"/>
          <w:sz w:val="26"/>
          <w:szCs w:val="26"/>
          <w:lang w:val="uk-UA"/>
        </w:rPr>
      </w:pPr>
      <w:r w:rsidRPr="00D13BFF">
        <w:rPr>
          <w:rFonts w:ascii="Times New Roman" w:hAnsi="Times New Roman"/>
          <w:b/>
          <w:i/>
          <w:sz w:val="26"/>
          <w:szCs w:val="26"/>
          <w:u w:val="single"/>
          <w:lang w:val="uk-UA"/>
        </w:rPr>
        <w:t xml:space="preserve">    4.У сфері екології й раціонального використання природних ресурсів:</w:t>
      </w:r>
      <w:r w:rsidRPr="00D13BFF">
        <w:rPr>
          <w:b/>
          <w:i/>
          <w:sz w:val="26"/>
          <w:szCs w:val="26"/>
          <w:u w:val="single"/>
          <w:lang w:val="uk-UA"/>
        </w:rPr>
        <w:br/>
      </w:r>
      <w:r w:rsidRPr="00D13BFF">
        <w:rPr>
          <w:rFonts w:ascii="Times New Roman" w:hAnsi="Times New Roman"/>
          <w:sz w:val="26"/>
          <w:szCs w:val="26"/>
          <w:lang w:val="uk-UA"/>
        </w:rPr>
        <w:t xml:space="preserve">         - розвиток співробітництва в галузі охорони навколишнього середовища, досягнення екологічної безпеки, сталого розвитку й раціонального використання природних ресурсів.</w:t>
      </w:r>
    </w:p>
    <w:p w:rsidR="00E0720A" w:rsidRPr="00D13BFF" w:rsidRDefault="00E0720A" w:rsidP="002F44FF">
      <w:pPr>
        <w:pStyle w:val="NormalWeb"/>
        <w:ind w:left="133" w:firstLine="575"/>
        <w:jc w:val="both"/>
        <w:rPr>
          <w:rFonts w:ascii="Times New Roman" w:hAnsi="Times New Roman"/>
          <w:sz w:val="26"/>
          <w:szCs w:val="26"/>
          <w:lang w:val="uk-UA"/>
        </w:rPr>
      </w:pPr>
      <w:r w:rsidRPr="00D13BFF">
        <w:rPr>
          <w:rFonts w:ascii="Times New Roman" w:hAnsi="Times New Roman"/>
          <w:sz w:val="26"/>
          <w:szCs w:val="26"/>
          <w:lang w:val="uk-UA"/>
        </w:rPr>
        <w:t>- обмін досвідом вирішення питань боротьби із забрудненістю водного простору.</w:t>
      </w:r>
    </w:p>
    <w:p w:rsidR="00E0720A" w:rsidRPr="002D1E54" w:rsidRDefault="00E0720A" w:rsidP="002D1E54">
      <w:pPr>
        <w:ind w:firstLine="708"/>
        <w:jc w:val="center"/>
        <w:rPr>
          <w:b/>
          <w:sz w:val="26"/>
          <w:szCs w:val="26"/>
          <w:lang w:val="uk-UA"/>
        </w:rPr>
      </w:pPr>
      <w:r w:rsidRPr="002D1E54">
        <w:rPr>
          <w:b/>
          <w:sz w:val="26"/>
          <w:szCs w:val="26"/>
          <w:lang w:val="uk-UA"/>
        </w:rPr>
        <w:t>ІІІ. Заходи по реалізації Програми.</w:t>
      </w:r>
    </w:p>
    <w:p w:rsidR="00E0720A" w:rsidRPr="002D1E54" w:rsidRDefault="00E0720A" w:rsidP="002D1E54">
      <w:pPr>
        <w:ind w:firstLine="708"/>
        <w:jc w:val="both"/>
        <w:rPr>
          <w:sz w:val="26"/>
          <w:szCs w:val="26"/>
          <w:lang w:val="uk-UA"/>
        </w:rPr>
      </w:pPr>
      <w:r w:rsidRPr="002D1E54">
        <w:rPr>
          <w:sz w:val="26"/>
          <w:szCs w:val="26"/>
          <w:lang w:val="uk-UA"/>
        </w:rPr>
        <w:t>З метою виконання Програми планується</w:t>
      </w:r>
      <w:r>
        <w:rPr>
          <w:sz w:val="26"/>
          <w:szCs w:val="26"/>
          <w:lang w:val="uk-UA"/>
        </w:rPr>
        <w:t xml:space="preserve"> організація</w:t>
      </w:r>
      <w:r w:rsidRPr="002D1E54">
        <w:rPr>
          <w:sz w:val="26"/>
          <w:szCs w:val="26"/>
          <w:lang w:val="uk-UA"/>
        </w:rPr>
        <w:t xml:space="preserve"> проведення</w:t>
      </w:r>
      <w:r>
        <w:rPr>
          <w:sz w:val="26"/>
          <w:szCs w:val="26"/>
          <w:lang w:val="uk-UA"/>
        </w:rPr>
        <w:t xml:space="preserve"> та фінансування</w:t>
      </w:r>
      <w:r w:rsidRPr="002D1E54">
        <w:rPr>
          <w:sz w:val="26"/>
          <w:szCs w:val="26"/>
          <w:lang w:val="uk-UA"/>
        </w:rPr>
        <w:t xml:space="preserve"> в 2018 – 2020 рок</w:t>
      </w:r>
      <w:r>
        <w:rPr>
          <w:sz w:val="26"/>
          <w:szCs w:val="26"/>
          <w:lang w:val="uk-UA"/>
        </w:rPr>
        <w:t>ах наступних заходів: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320"/>
        <w:gridCol w:w="1980"/>
        <w:gridCol w:w="3960"/>
      </w:tblGrid>
      <w:tr w:rsidR="00E0720A" w:rsidRPr="002D1E54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№</w:t>
            </w:r>
          </w:p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п/п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Короткий зміст заход</w:t>
            </w:r>
            <w:r>
              <w:rPr>
                <w:sz w:val="26"/>
                <w:szCs w:val="26"/>
                <w:lang w:val="uk-UA"/>
              </w:rPr>
              <w:t>ів та їх фінансування</w:t>
            </w:r>
          </w:p>
        </w:tc>
        <w:tc>
          <w:tcPr>
            <w:tcW w:w="198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Орієнтовний період здійснення заходу</w:t>
            </w:r>
          </w:p>
        </w:tc>
        <w:tc>
          <w:tcPr>
            <w:tcW w:w="3960" w:type="dxa"/>
          </w:tcPr>
          <w:p w:rsidR="00E0720A" w:rsidRPr="002D1E54" w:rsidRDefault="00E0720A" w:rsidP="005C18E9">
            <w:pPr>
              <w:ind w:left="432" w:hanging="432"/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Відповідальний за організацію</w:t>
            </w:r>
          </w:p>
        </w:tc>
      </w:tr>
      <w:tr w:rsidR="00E0720A" w:rsidRPr="002D1E54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98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96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4</w:t>
            </w:r>
          </w:p>
        </w:tc>
      </w:tr>
      <w:tr w:rsidR="00E0720A" w:rsidRPr="005C32EB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 xml:space="preserve">Оплата консультативних (консультаційних) послуг при розробці (складанні) спільних міжнародних проектів з містами-побратимами з метою отримання грантів </w:t>
            </w:r>
          </w:p>
        </w:tc>
        <w:tc>
          <w:tcPr>
            <w:tcW w:w="1980" w:type="dxa"/>
          </w:tcPr>
          <w:p w:rsidR="00E0720A" w:rsidRPr="005C18E9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5C18E9">
              <w:rPr>
                <w:sz w:val="26"/>
                <w:szCs w:val="26"/>
                <w:lang w:val="uk-UA"/>
              </w:rPr>
              <w:t>Протягом</w:t>
            </w:r>
            <w:r>
              <w:rPr>
                <w:sz w:val="26"/>
                <w:szCs w:val="26"/>
                <w:lang w:val="uk-UA"/>
              </w:rPr>
              <w:t xml:space="preserve"> 2018-2020</w:t>
            </w:r>
            <w:r w:rsidRPr="005C18E9">
              <w:rPr>
                <w:sz w:val="26"/>
                <w:szCs w:val="26"/>
                <w:lang w:val="uk-UA"/>
              </w:rPr>
              <w:t xml:space="preserve"> рок</w:t>
            </w:r>
            <w:r>
              <w:rPr>
                <w:sz w:val="26"/>
                <w:szCs w:val="26"/>
                <w:lang w:val="uk-UA"/>
              </w:rPr>
              <w:t>ів</w:t>
            </w:r>
          </w:p>
        </w:tc>
        <w:tc>
          <w:tcPr>
            <w:tcW w:w="396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Виконком міської ради, постійна комісія з питань національних відносин, міжнародних та зовнішньоекономічних зв’язків</w:t>
            </w:r>
          </w:p>
        </w:tc>
      </w:tr>
      <w:tr w:rsidR="00E0720A" w:rsidRPr="005C32EB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Оплата послуг проживання та харчування членів делегацій, які братимуть участь в проведенні Міжнародн</w:t>
            </w:r>
            <w:r>
              <w:rPr>
                <w:sz w:val="26"/>
                <w:szCs w:val="26"/>
                <w:lang w:val="uk-UA"/>
              </w:rPr>
              <w:t>их</w:t>
            </w:r>
            <w:r w:rsidRPr="002D1E54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заходів в м. Тячів</w:t>
            </w:r>
          </w:p>
          <w:p w:rsidR="00E0720A" w:rsidRPr="002D1E54" w:rsidRDefault="00E0720A" w:rsidP="003F63AA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</w:tcPr>
          <w:p w:rsidR="00E0720A" w:rsidRPr="005C18E9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5C18E9">
              <w:rPr>
                <w:sz w:val="26"/>
                <w:szCs w:val="26"/>
                <w:lang w:val="uk-UA"/>
              </w:rPr>
              <w:t>Протягом</w:t>
            </w:r>
            <w:r>
              <w:rPr>
                <w:sz w:val="26"/>
                <w:szCs w:val="26"/>
                <w:lang w:val="uk-UA"/>
              </w:rPr>
              <w:t xml:space="preserve"> 2018-2020</w:t>
            </w:r>
            <w:r w:rsidRPr="005C18E9">
              <w:rPr>
                <w:sz w:val="26"/>
                <w:szCs w:val="26"/>
                <w:lang w:val="uk-UA"/>
              </w:rPr>
              <w:t xml:space="preserve"> рок</w:t>
            </w:r>
            <w:r>
              <w:rPr>
                <w:sz w:val="26"/>
                <w:szCs w:val="26"/>
                <w:lang w:val="uk-UA"/>
              </w:rPr>
              <w:t>ів</w:t>
            </w:r>
          </w:p>
        </w:tc>
        <w:tc>
          <w:tcPr>
            <w:tcW w:w="396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Виконком міської ради, постійна комісія з питань національних відносин, міжнародних та зовнішньоекономічних зв’язків</w:t>
            </w:r>
          </w:p>
        </w:tc>
      </w:tr>
      <w:tr w:rsidR="00E0720A" w:rsidRPr="002D1E54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 xml:space="preserve">Оплата транспортних послуг по перевозці </w:t>
            </w:r>
            <w:r>
              <w:rPr>
                <w:sz w:val="26"/>
                <w:szCs w:val="26"/>
                <w:lang w:val="uk-UA"/>
              </w:rPr>
              <w:t>груп</w:t>
            </w:r>
            <w:r w:rsidRPr="002D1E54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художньої самодіяльності</w:t>
            </w:r>
            <w:r w:rsidRPr="002D1E54">
              <w:rPr>
                <w:sz w:val="26"/>
                <w:szCs w:val="26"/>
                <w:lang w:val="uk-UA"/>
              </w:rPr>
              <w:t xml:space="preserve"> для участі в  міжнародн</w:t>
            </w:r>
            <w:r>
              <w:rPr>
                <w:sz w:val="26"/>
                <w:szCs w:val="26"/>
                <w:lang w:val="uk-UA"/>
              </w:rPr>
              <w:t>их</w:t>
            </w:r>
            <w:r w:rsidRPr="002D1E54">
              <w:rPr>
                <w:sz w:val="26"/>
                <w:szCs w:val="26"/>
                <w:lang w:val="uk-UA"/>
              </w:rPr>
              <w:t xml:space="preserve"> фестивал</w:t>
            </w:r>
            <w:r>
              <w:rPr>
                <w:sz w:val="26"/>
                <w:szCs w:val="26"/>
                <w:lang w:val="uk-UA"/>
              </w:rPr>
              <w:t>ях, організованих містами побратимами</w:t>
            </w:r>
          </w:p>
        </w:tc>
        <w:tc>
          <w:tcPr>
            <w:tcW w:w="1980" w:type="dxa"/>
          </w:tcPr>
          <w:p w:rsidR="00E0720A" w:rsidRPr="005C18E9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5C18E9">
              <w:rPr>
                <w:sz w:val="26"/>
                <w:szCs w:val="26"/>
                <w:lang w:val="uk-UA"/>
              </w:rPr>
              <w:t>Протягом</w:t>
            </w:r>
            <w:r>
              <w:rPr>
                <w:sz w:val="26"/>
                <w:szCs w:val="26"/>
                <w:lang w:val="uk-UA"/>
              </w:rPr>
              <w:t xml:space="preserve"> 2018-2020</w:t>
            </w:r>
            <w:r w:rsidRPr="005C18E9">
              <w:rPr>
                <w:sz w:val="26"/>
                <w:szCs w:val="26"/>
                <w:lang w:val="uk-UA"/>
              </w:rPr>
              <w:t xml:space="preserve"> рок</w:t>
            </w:r>
            <w:r>
              <w:rPr>
                <w:sz w:val="26"/>
                <w:szCs w:val="26"/>
                <w:lang w:val="uk-UA"/>
              </w:rPr>
              <w:t>ів</w:t>
            </w:r>
          </w:p>
        </w:tc>
        <w:tc>
          <w:tcPr>
            <w:tcW w:w="396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Школи міста, виконавчий комітет</w:t>
            </w:r>
          </w:p>
        </w:tc>
      </w:tr>
      <w:tr w:rsidR="00E0720A" w:rsidRPr="002D1E54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 xml:space="preserve">Оплата транспортних послуг по перевозці </w:t>
            </w:r>
            <w:r>
              <w:rPr>
                <w:sz w:val="26"/>
                <w:szCs w:val="26"/>
                <w:lang w:val="uk-UA"/>
              </w:rPr>
              <w:t>спортсменів</w:t>
            </w:r>
            <w:r w:rsidRPr="002D1E54">
              <w:rPr>
                <w:sz w:val="26"/>
                <w:szCs w:val="26"/>
                <w:lang w:val="uk-UA"/>
              </w:rPr>
              <w:t xml:space="preserve"> для участі у </w:t>
            </w:r>
            <w:r>
              <w:rPr>
                <w:sz w:val="26"/>
                <w:szCs w:val="26"/>
                <w:lang w:val="uk-UA"/>
              </w:rPr>
              <w:t>міжнародних спортивних змаганнях</w:t>
            </w:r>
            <w:r w:rsidRPr="002D1E54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980" w:type="dxa"/>
          </w:tcPr>
          <w:p w:rsidR="00E0720A" w:rsidRDefault="00E0720A" w:rsidP="00DC20C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червень-</w:t>
            </w:r>
          </w:p>
          <w:p w:rsidR="00E0720A" w:rsidRPr="002D1E54" w:rsidRDefault="00E0720A" w:rsidP="00DC20CE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серпень</w:t>
            </w:r>
          </w:p>
          <w:p w:rsidR="00E0720A" w:rsidRPr="002D1E54" w:rsidRDefault="00E0720A" w:rsidP="00DC20C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2018-2020 років</w:t>
            </w:r>
          </w:p>
        </w:tc>
        <w:tc>
          <w:tcPr>
            <w:tcW w:w="3960" w:type="dxa"/>
          </w:tcPr>
          <w:p w:rsidR="00E0720A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 xml:space="preserve">  СК «Тячів» (Тячів), виконком міської ради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Школи громади</w:t>
            </w:r>
          </w:p>
        </w:tc>
      </w:tr>
      <w:tr w:rsidR="00E0720A" w:rsidRPr="005C32EB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 xml:space="preserve">Придбання товарів (послуг) для проведення Міжнародного фестивалю, </w:t>
            </w:r>
          </w:p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присв’яченого святу збору урожаю «Сюреті Бал»</w:t>
            </w:r>
          </w:p>
        </w:tc>
        <w:tc>
          <w:tcPr>
            <w:tcW w:w="1980" w:type="dxa"/>
          </w:tcPr>
          <w:p w:rsidR="00E0720A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 xml:space="preserve">Третя неділя вересня </w:t>
            </w:r>
          </w:p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2018-2020 років</w:t>
            </w:r>
          </w:p>
        </w:tc>
        <w:tc>
          <w:tcPr>
            <w:tcW w:w="396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Виконком міської ради, постійна комісія з питань національних відносин, міжнародних та зовнішньоекономічних зв’язків</w:t>
            </w:r>
          </w:p>
        </w:tc>
      </w:tr>
      <w:tr w:rsidR="00E0720A" w:rsidRPr="005C32EB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Придбання сувенірів та оплата транспортних послуг по обслуговуванню</w:t>
            </w:r>
            <w:r w:rsidRPr="002D1E54">
              <w:rPr>
                <w:i/>
                <w:sz w:val="26"/>
                <w:szCs w:val="26"/>
                <w:lang w:val="uk-UA"/>
              </w:rPr>
              <w:t xml:space="preserve"> </w:t>
            </w:r>
            <w:r w:rsidRPr="002D1E54">
              <w:rPr>
                <w:sz w:val="26"/>
                <w:szCs w:val="26"/>
                <w:lang w:val="uk-UA"/>
              </w:rPr>
              <w:t>делегацій міської об’єднаної територіальної громади для участі в святкових заходах (фестивалях, Днях міст, ярмарках і т.д.)</w:t>
            </w:r>
            <w:r w:rsidRPr="002D1E54">
              <w:rPr>
                <w:i/>
                <w:sz w:val="26"/>
                <w:szCs w:val="26"/>
                <w:lang w:val="uk-UA"/>
              </w:rPr>
              <w:t xml:space="preserve"> </w:t>
            </w:r>
            <w:r w:rsidRPr="002D1E54">
              <w:rPr>
                <w:sz w:val="26"/>
                <w:szCs w:val="26"/>
                <w:lang w:val="uk-UA"/>
              </w:rPr>
              <w:t>по запрошеннях з міст – побратимів та в заходах по підписанню спільних угод та проектів</w:t>
            </w:r>
          </w:p>
          <w:p w:rsidR="00E0720A" w:rsidRPr="002D1E54" w:rsidRDefault="00E0720A" w:rsidP="003F63AA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5C18E9">
              <w:rPr>
                <w:sz w:val="26"/>
                <w:szCs w:val="26"/>
                <w:lang w:val="uk-UA"/>
              </w:rPr>
              <w:t>Протягом</w:t>
            </w:r>
            <w:r>
              <w:rPr>
                <w:sz w:val="26"/>
                <w:szCs w:val="26"/>
                <w:lang w:val="uk-UA"/>
              </w:rPr>
              <w:t xml:space="preserve"> 2018-2020</w:t>
            </w:r>
            <w:r w:rsidRPr="005C18E9">
              <w:rPr>
                <w:sz w:val="26"/>
                <w:szCs w:val="26"/>
                <w:lang w:val="uk-UA"/>
              </w:rPr>
              <w:t xml:space="preserve"> рок</w:t>
            </w:r>
            <w:r>
              <w:rPr>
                <w:sz w:val="26"/>
                <w:szCs w:val="26"/>
                <w:lang w:val="uk-UA"/>
              </w:rPr>
              <w:t>ів</w:t>
            </w:r>
          </w:p>
        </w:tc>
        <w:tc>
          <w:tcPr>
            <w:tcW w:w="3960" w:type="dxa"/>
          </w:tcPr>
          <w:p w:rsidR="00E0720A" w:rsidRPr="002D1E54" w:rsidRDefault="00E0720A" w:rsidP="003F63AA">
            <w:pPr>
              <w:jc w:val="center"/>
              <w:rPr>
                <w:i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Виконком</w:t>
            </w:r>
            <w:r w:rsidRPr="002D1E54">
              <w:rPr>
                <w:sz w:val="26"/>
                <w:szCs w:val="26"/>
                <w:lang w:val="uk-UA"/>
              </w:rPr>
              <w:t xml:space="preserve"> міської ради, постійна комісія з питань національних відносин, міжнародних та зовнішньоекономічних зв’язків</w:t>
            </w:r>
          </w:p>
        </w:tc>
      </w:tr>
      <w:tr w:rsidR="00E0720A" w:rsidRPr="005C32EB" w:rsidTr="005C18E9">
        <w:tc>
          <w:tcPr>
            <w:tcW w:w="540" w:type="dxa"/>
          </w:tcPr>
          <w:p w:rsidR="00E0720A" w:rsidRPr="002D1E54" w:rsidRDefault="00E0720A" w:rsidP="003F63AA">
            <w:pPr>
              <w:jc w:val="center"/>
              <w:rPr>
                <w:i/>
                <w:sz w:val="26"/>
                <w:szCs w:val="26"/>
                <w:lang w:val="uk-UA"/>
              </w:rPr>
            </w:pPr>
            <w:r>
              <w:rPr>
                <w:i/>
                <w:sz w:val="26"/>
                <w:szCs w:val="26"/>
                <w:lang w:val="uk-UA"/>
              </w:rPr>
              <w:t>7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2D1E54">
              <w:rPr>
                <w:sz w:val="26"/>
                <w:szCs w:val="26"/>
                <w:lang w:val="uk-UA"/>
              </w:rPr>
              <w:t>Придбання сувенірів та оплата послуг по прийому та  обслуговуванню делегацій міст – побратимів під час святкування Дня міста Тячів та під час підписання спільних угод і проектів.</w:t>
            </w:r>
          </w:p>
          <w:p w:rsidR="00E0720A" w:rsidRPr="002D1E54" w:rsidRDefault="00E0720A" w:rsidP="003F63AA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5C18E9">
              <w:rPr>
                <w:sz w:val="26"/>
                <w:szCs w:val="26"/>
                <w:lang w:val="uk-UA"/>
              </w:rPr>
              <w:t>Протягом</w:t>
            </w:r>
            <w:r>
              <w:rPr>
                <w:sz w:val="26"/>
                <w:szCs w:val="26"/>
                <w:lang w:val="uk-UA"/>
              </w:rPr>
              <w:t xml:space="preserve"> 2018-2020</w:t>
            </w:r>
            <w:r w:rsidRPr="005C18E9">
              <w:rPr>
                <w:sz w:val="26"/>
                <w:szCs w:val="26"/>
                <w:lang w:val="uk-UA"/>
              </w:rPr>
              <w:t xml:space="preserve"> рок</w:t>
            </w:r>
            <w:r>
              <w:rPr>
                <w:sz w:val="26"/>
                <w:szCs w:val="26"/>
                <w:lang w:val="uk-UA"/>
              </w:rPr>
              <w:t>ів</w:t>
            </w:r>
          </w:p>
        </w:tc>
        <w:tc>
          <w:tcPr>
            <w:tcW w:w="3960" w:type="dxa"/>
          </w:tcPr>
          <w:p w:rsidR="00E0720A" w:rsidRPr="002D1E54" w:rsidRDefault="00E0720A" w:rsidP="003F63AA">
            <w:pPr>
              <w:jc w:val="center"/>
              <w:rPr>
                <w:i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Виконком</w:t>
            </w:r>
            <w:r w:rsidRPr="002D1E54">
              <w:rPr>
                <w:sz w:val="26"/>
                <w:szCs w:val="26"/>
                <w:lang w:val="uk-UA"/>
              </w:rPr>
              <w:t xml:space="preserve"> міської ради, постійна комісія з питань національних відносин, міжнародних та зовнішньоекономічних зв’язків</w:t>
            </w:r>
          </w:p>
        </w:tc>
      </w:tr>
      <w:tr w:rsidR="00E0720A" w:rsidRPr="005C32EB" w:rsidTr="005C18E9">
        <w:tc>
          <w:tcPr>
            <w:tcW w:w="540" w:type="dxa"/>
          </w:tcPr>
          <w:p w:rsidR="00E0720A" w:rsidRDefault="00E0720A" w:rsidP="003F63AA">
            <w:pPr>
              <w:jc w:val="center"/>
              <w:rPr>
                <w:i/>
                <w:sz w:val="26"/>
                <w:szCs w:val="26"/>
                <w:lang w:val="uk-UA"/>
              </w:rPr>
            </w:pPr>
            <w:r>
              <w:rPr>
                <w:i/>
                <w:sz w:val="26"/>
                <w:szCs w:val="26"/>
                <w:lang w:val="uk-UA"/>
              </w:rPr>
              <w:t>8</w:t>
            </w:r>
          </w:p>
        </w:tc>
        <w:tc>
          <w:tcPr>
            <w:tcW w:w="4320" w:type="dxa"/>
          </w:tcPr>
          <w:p w:rsidR="00E0720A" w:rsidRPr="002D1E54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Послуги харчування та проживання організованих груп дітей з міст-побратимів та інших закордонних міст.</w:t>
            </w:r>
          </w:p>
        </w:tc>
        <w:tc>
          <w:tcPr>
            <w:tcW w:w="1980" w:type="dxa"/>
          </w:tcPr>
          <w:p w:rsidR="00E0720A" w:rsidRPr="005C18E9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5C18E9">
              <w:rPr>
                <w:sz w:val="26"/>
                <w:szCs w:val="26"/>
                <w:lang w:val="uk-UA"/>
              </w:rPr>
              <w:t>Протягом</w:t>
            </w:r>
            <w:r>
              <w:rPr>
                <w:sz w:val="26"/>
                <w:szCs w:val="26"/>
                <w:lang w:val="uk-UA"/>
              </w:rPr>
              <w:t xml:space="preserve"> 2018-2020</w:t>
            </w:r>
            <w:r w:rsidRPr="005C18E9">
              <w:rPr>
                <w:sz w:val="26"/>
                <w:szCs w:val="26"/>
                <w:lang w:val="uk-UA"/>
              </w:rPr>
              <w:t xml:space="preserve"> рок</w:t>
            </w:r>
            <w:r>
              <w:rPr>
                <w:sz w:val="26"/>
                <w:szCs w:val="26"/>
                <w:lang w:val="uk-UA"/>
              </w:rPr>
              <w:t>ів</w:t>
            </w:r>
          </w:p>
        </w:tc>
        <w:tc>
          <w:tcPr>
            <w:tcW w:w="3960" w:type="dxa"/>
          </w:tcPr>
          <w:p w:rsidR="00E0720A" w:rsidRPr="00EF66BD" w:rsidRDefault="00E0720A" w:rsidP="003F63AA">
            <w:pPr>
              <w:jc w:val="center"/>
              <w:rPr>
                <w:sz w:val="26"/>
                <w:szCs w:val="26"/>
                <w:lang w:val="uk-UA"/>
              </w:rPr>
            </w:pPr>
            <w:r w:rsidRPr="00EF66BD">
              <w:rPr>
                <w:sz w:val="26"/>
                <w:szCs w:val="26"/>
                <w:lang w:val="uk-UA"/>
              </w:rPr>
              <w:t xml:space="preserve">Виконком міської ради, </w:t>
            </w:r>
            <w:r>
              <w:rPr>
                <w:sz w:val="26"/>
                <w:szCs w:val="26"/>
                <w:lang w:val="uk-UA"/>
              </w:rPr>
              <w:t>у</w:t>
            </w:r>
            <w:r w:rsidRPr="00EF66BD">
              <w:rPr>
                <w:sz w:val="26"/>
                <w:szCs w:val="26"/>
                <w:lang w:val="uk-UA"/>
              </w:rPr>
              <w:t>правління освіти, охорони здоров’я, культури, сім’ї, молоді та спорту Тячівської міської ради Закарпатської області</w:t>
            </w:r>
          </w:p>
        </w:tc>
      </w:tr>
    </w:tbl>
    <w:p w:rsidR="00E0720A" w:rsidRDefault="00E0720A" w:rsidP="002F44FF">
      <w:pPr>
        <w:jc w:val="center"/>
        <w:rPr>
          <w:b/>
          <w:sz w:val="28"/>
          <w:szCs w:val="28"/>
          <w:lang w:val="uk-UA"/>
        </w:rPr>
      </w:pPr>
    </w:p>
    <w:p w:rsidR="00E0720A" w:rsidRPr="00D13BFF" w:rsidRDefault="00E0720A" w:rsidP="002F44F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ІV. Фінансування П</w:t>
      </w:r>
      <w:r w:rsidRPr="00D13BFF">
        <w:rPr>
          <w:b/>
          <w:sz w:val="26"/>
          <w:szCs w:val="26"/>
          <w:lang w:val="uk-UA"/>
        </w:rPr>
        <w:t>рограми.</w:t>
      </w:r>
    </w:p>
    <w:p w:rsidR="00E0720A" w:rsidRPr="00D13BFF" w:rsidRDefault="00E0720A" w:rsidP="002F44FF">
      <w:pPr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ab/>
        <w:t>Програма фінансується за рахунок коштів міського бюджету. Виділення бюджетних коштів проводиться за рішенням Тячівської міської ради.</w:t>
      </w:r>
    </w:p>
    <w:p w:rsidR="00E0720A" w:rsidRDefault="00E0720A" w:rsidP="002F44FF">
      <w:pPr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ab/>
        <w:t>З метою забезпечення фінансування заходів Програми можуть залучатись позабюджетні кошти, кошти благодійних, спонсорських організацій, суб’єктів господарювання, населення.</w:t>
      </w:r>
    </w:p>
    <w:p w:rsidR="00E0720A" w:rsidRPr="00D13BFF" w:rsidRDefault="00E0720A" w:rsidP="002F44FF">
      <w:pPr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E0720A" w:rsidRPr="00D13BFF" w:rsidRDefault="00E0720A" w:rsidP="002F44FF">
      <w:pPr>
        <w:jc w:val="center"/>
        <w:rPr>
          <w:b/>
          <w:sz w:val="26"/>
          <w:szCs w:val="26"/>
          <w:lang w:val="uk-UA"/>
        </w:rPr>
      </w:pPr>
      <w:r w:rsidRPr="00D13BFF">
        <w:rPr>
          <w:b/>
          <w:sz w:val="26"/>
          <w:szCs w:val="26"/>
          <w:lang w:val="uk-UA"/>
        </w:rPr>
        <w:t>V. Очікуванні результати від виконання заходів Програми.</w:t>
      </w:r>
    </w:p>
    <w:p w:rsidR="00E0720A" w:rsidRDefault="00E0720A" w:rsidP="002F44FF">
      <w:pPr>
        <w:jc w:val="both"/>
        <w:rPr>
          <w:sz w:val="26"/>
          <w:szCs w:val="26"/>
          <w:lang w:val="uk-UA"/>
        </w:rPr>
      </w:pPr>
      <w:r w:rsidRPr="00D13BFF">
        <w:rPr>
          <w:sz w:val="26"/>
          <w:szCs w:val="26"/>
          <w:lang w:val="uk-UA"/>
        </w:rPr>
        <w:tab/>
        <w:t xml:space="preserve">Виконання заходів Програми дасть змогу зміцнити міжнародні зв’язки з іноземними містами – побратимами, втілити на території об’єднаної громади спільні інвестиційні проекти, залучити кошти міжнародних організацій, іноземних суб’єктів підприємницької діяльності з метою прискорення соціально – економічного розвитку населених пунктів об’єднаної територіальної громади. </w:t>
      </w: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p w:rsidR="00E0720A" w:rsidRDefault="00E0720A" w:rsidP="002F44FF">
      <w:pPr>
        <w:jc w:val="both"/>
        <w:rPr>
          <w:sz w:val="26"/>
          <w:szCs w:val="26"/>
          <w:lang w:val="uk-UA"/>
        </w:rPr>
      </w:pPr>
    </w:p>
    <w:sectPr w:rsidR="00E0720A" w:rsidSect="00C87CFF">
      <w:pgSz w:w="11906" w:h="16838"/>
      <w:pgMar w:top="567" w:right="566" w:bottom="56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4FF"/>
    <w:rsid w:val="0000354C"/>
    <w:rsid w:val="00040057"/>
    <w:rsid w:val="000A105E"/>
    <w:rsid w:val="000C0AF0"/>
    <w:rsid w:val="000F4576"/>
    <w:rsid w:val="00193ABF"/>
    <w:rsid w:val="001F7F7B"/>
    <w:rsid w:val="00202E26"/>
    <w:rsid w:val="00203EE4"/>
    <w:rsid w:val="002C5070"/>
    <w:rsid w:val="002D1E54"/>
    <w:rsid w:val="002F44FF"/>
    <w:rsid w:val="003400FF"/>
    <w:rsid w:val="003F63AA"/>
    <w:rsid w:val="003F7327"/>
    <w:rsid w:val="00427F3B"/>
    <w:rsid w:val="00473412"/>
    <w:rsid w:val="004939A4"/>
    <w:rsid w:val="004B5673"/>
    <w:rsid w:val="00504381"/>
    <w:rsid w:val="00557827"/>
    <w:rsid w:val="00570C64"/>
    <w:rsid w:val="005C18E9"/>
    <w:rsid w:val="005C32EB"/>
    <w:rsid w:val="005D5D9E"/>
    <w:rsid w:val="005F27BA"/>
    <w:rsid w:val="006A4C76"/>
    <w:rsid w:val="007C0FBE"/>
    <w:rsid w:val="00823A2B"/>
    <w:rsid w:val="008D269B"/>
    <w:rsid w:val="008E47B1"/>
    <w:rsid w:val="00905931"/>
    <w:rsid w:val="00991EC8"/>
    <w:rsid w:val="00AB1E3C"/>
    <w:rsid w:val="00B3545F"/>
    <w:rsid w:val="00B60348"/>
    <w:rsid w:val="00C87CFF"/>
    <w:rsid w:val="00CA3E89"/>
    <w:rsid w:val="00D10735"/>
    <w:rsid w:val="00D13BFF"/>
    <w:rsid w:val="00D16F43"/>
    <w:rsid w:val="00DC20CE"/>
    <w:rsid w:val="00DD2CB5"/>
    <w:rsid w:val="00E0720A"/>
    <w:rsid w:val="00E648BD"/>
    <w:rsid w:val="00EF66BD"/>
    <w:rsid w:val="00F11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4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F44FF"/>
    <w:rPr>
      <w:rFonts w:ascii="Verdana" w:hAnsi="Verdana"/>
      <w:sz w:val="15"/>
      <w:szCs w:val="15"/>
    </w:rPr>
  </w:style>
  <w:style w:type="character" w:customStyle="1" w:styleId="11">
    <w:name w:val="Основной текст + 11"/>
    <w:aliases w:val="5 pt1"/>
    <w:basedOn w:val="DefaultParagraphFont"/>
    <w:uiPriority w:val="99"/>
    <w:rsid w:val="002F44FF"/>
    <w:rPr>
      <w:rFonts w:ascii="Times New Roman" w:hAnsi="Times New Roman" w:cs="Times New Roman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</TotalTime>
  <Pages>5</Pages>
  <Words>1345</Words>
  <Characters>7671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33</cp:revision>
  <cp:lastPrinted>2018-05-04T06:55:00Z</cp:lastPrinted>
  <dcterms:created xsi:type="dcterms:W3CDTF">2017-12-14T06:09:00Z</dcterms:created>
  <dcterms:modified xsi:type="dcterms:W3CDTF">2018-05-04T07:33:00Z</dcterms:modified>
</cp:coreProperties>
</file>