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10" w:rsidRPr="00CE55BE" w:rsidRDefault="00C82910" w:rsidP="00351C37">
      <w:pPr>
        <w:pStyle w:val="Heading1"/>
        <w:ind w:right="141"/>
        <w:jc w:val="left"/>
      </w:pPr>
    </w:p>
    <w:p w:rsidR="00C82910" w:rsidRPr="00CE55BE" w:rsidRDefault="00C82910" w:rsidP="00051EE1">
      <w:pPr>
        <w:ind w:right="141"/>
        <w:rPr>
          <w:sz w:val="22"/>
          <w:szCs w:val="22"/>
          <w:lang w:val="uk-UA"/>
        </w:rPr>
      </w:pPr>
    </w:p>
    <w:p w:rsidR="00C82910" w:rsidRPr="00CE55BE" w:rsidRDefault="00C82910" w:rsidP="00051EE1">
      <w:pPr>
        <w:ind w:right="141"/>
        <w:jc w:val="center"/>
        <w:rPr>
          <w:lang w:val="uk-UA"/>
        </w:rPr>
      </w:pPr>
      <w:r w:rsidRPr="00CE55BE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5.25pt" o:ole="" fillcolor="window">
            <v:imagedata r:id="rId5" o:title=""/>
          </v:shape>
          <o:OLEObject Type="Embed" ProgID="Word.Picture.8" ShapeID="_x0000_i1025" DrawAspect="Content" ObjectID="_1591087547" r:id="rId6"/>
        </w:object>
      </w:r>
    </w:p>
    <w:p w:rsidR="00C82910" w:rsidRPr="00CE55BE" w:rsidRDefault="00C82910" w:rsidP="00051EE1">
      <w:pPr>
        <w:ind w:right="141"/>
        <w:jc w:val="center"/>
        <w:rPr>
          <w:b/>
          <w:sz w:val="32"/>
          <w:szCs w:val="32"/>
          <w:lang w:val="uk-UA"/>
        </w:rPr>
      </w:pPr>
      <w:r w:rsidRPr="00CE55BE">
        <w:rPr>
          <w:b/>
          <w:sz w:val="32"/>
          <w:szCs w:val="32"/>
          <w:lang w:val="uk-UA"/>
        </w:rPr>
        <w:t>У К Р А Ї Н А</w:t>
      </w:r>
    </w:p>
    <w:p w:rsidR="00C82910" w:rsidRPr="00CE55BE" w:rsidRDefault="00C82910" w:rsidP="00051EE1">
      <w:pPr>
        <w:ind w:right="141"/>
        <w:jc w:val="center"/>
        <w:rPr>
          <w:b/>
          <w:sz w:val="28"/>
          <w:szCs w:val="28"/>
          <w:lang w:val="uk-UA"/>
        </w:rPr>
      </w:pPr>
      <w:r w:rsidRPr="00CE55BE">
        <w:rPr>
          <w:b/>
          <w:sz w:val="28"/>
          <w:szCs w:val="28"/>
          <w:lang w:val="uk-UA"/>
        </w:rPr>
        <w:t>ТЯЧІВСЬКА  МІСЬКА  РАДА</w:t>
      </w:r>
    </w:p>
    <w:p w:rsidR="00C82910" w:rsidRDefault="00C82910" w:rsidP="00051EE1">
      <w:pPr>
        <w:ind w:right="14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Двадцять четверта (позачергова)</w:t>
      </w:r>
      <w:r w:rsidRPr="00CE55BE">
        <w:rPr>
          <w:b/>
          <w:sz w:val="28"/>
          <w:szCs w:val="28"/>
          <w:lang w:val="uk-UA"/>
        </w:rPr>
        <w:t xml:space="preserve"> сесія сьомого скликання</w:t>
      </w:r>
    </w:p>
    <w:p w:rsidR="00C82910" w:rsidRPr="00CE55BE" w:rsidRDefault="00C82910" w:rsidP="00051EE1">
      <w:pPr>
        <w:ind w:right="14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 пленарне засідання</w:t>
      </w:r>
    </w:p>
    <w:p w:rsidR="00C82910" w:rsidRPr="00CE55BE" w:rsidRDefault="00C82910" w:rsidP="00051EE1">
      <w:pPr>
        <w:ind w:right="141"/>
        <w:jc w:val="center"/>
        <w:rPr>
          <w:b/>
          <w:sz w:val="28"/>
          <w:szCs w:val="28"/>
          <w:lang w:val="uk-UA"/>
        </w:rPr>
      </w:pPr>
    </w:p>
    <w:p w:rsidR="00C82910" w:rsidRPr="00CE55BE" w:rsidRDefault="00C82910" w:rsidP="00051EE1">
      <w:pPr>
        <w:ind w:right="141"/>
        <w:jc w:val="center"/>
        <w:rPr>
          <w:b/>
          <w:sz w:val="28"/>
          <w:szCs w:val="28"/>
          <w:lang w:val="uk-UA"/>
        </w:rPr>
      </w:pPr>
      <w:r w:rsidRPr="00CE55BE">
        <w:rPr>
          <w:b/>
          <w:sz w:val="28"/>
          <w:szCs w:val="28"/>
          <w:lang w:val="uk-UA"/>
        </w:rPr>
        <w:t>РІШЕННЯ</w:t>
      </w:r>
    </w:p>
    <w:p w:rsidR="00C82910" w:rsidRPr="00CE55BE" w:rsidRDefault="00C82910" w:rsidP="00051EE1">
      <w:pPr>
        <w:ind w:right="141"/>
        <w:jc w:val="center"/>
        <w:rPr>
          <w:b/>
          <w:sz w:val="28"/>
          <w:szCs w:val="28"/>
          <w:lang w:val="uk-UA"/>
        </w:rPr>
      </w:pPr>
    </w:p>
    <w:p w:rsidR="00C82910" w:rsidRPr="00CE55BE" w:rsidRDefault="00C82910" w:rsidP="00051EE1">
      <w:pPr>
        <w:ind w:right="141"/>
        <w:rPr>
          <w:sz w:val="28"/>
          <w:szCs w:val="28"/>
          <w:lang w:val="uk-UA"/>
        </w:rPr>
      </w:pPr>
    </w:p>
    <w:p w:rsidR="00C82910" w:rsidRPr="00CE55BE" w:rsidRDefault="00C82910" w:rsidP="00051EE1">
      <w:pPr>
        <w:pStyle w:val="Heading4"/>
        <w:ind w:right="141"/>
        <w:rPr>
          <w:szCs w:val="28"/>
        </w:rPr>
      </w:pPr>
      <w:r w:rsidRPr="00CE55BE">
        <w:rPr>
          <w:szCs w:val="28"/>
        </w:rPr>
        <w:t xml:space="preserve">від </w:t>
      </w:r>
      <w:r>
        <w:rPr>
          <w:szCs w:val="28"/>
        </w:rPr>
        <w:t>20 черв</w:t>
      </w:r>
      <w:r w:rsidRPr="00CE55BE">
        <w:rPr>
          <w:szCs w:val="28"/>
        </w:rPr>
        <w:t>ня 201</w:t>
      </w:r>
      <w:r>
        <w:rPr>
          <w:szCs w:val="28"/>
        </w:rPr>
        <w:t>8 року № 2678</w:t>
      </w:r>
    </w:p>
    <w:p w:rsidR="00C82910" w:rsidRPr="00CE55BE" w:rsidRDefault="00C82910" w:rsidP="00051EE1">
      <w:pPr>
        <w:ind w:right="141"/>
        <w:rPr>
          <w:b/>
          <w:bCs/>
          <w:sz w:val="28"/>
          <w:szCs w:val="28"/>
          <w:lang w:val="uk-UA"/>
        </w:rPr>
      </w:pPr>
      <w:r w:rsidRPr="00CE55BE">
        <w:rPr>
          <w:b/>
          <w:bCs/>
          <w:sz w:val="28"/>
          <w:szCs w:val="28"/>
          <w:lang w:val="uk-UA"/>
        </w:rPr>
        <w:t>м. Тячів</w:t>
      </w:r>
    </w:p>
    <w:p w:rsidR="00C82910" w:rsidRPr="00C75A0D" w:rsidRDefault="00C82910" w:rsidP="00051EE1">
      <w:pPr>
        <w:ind w:right="141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786"/>
      </w:tblGrid>
      <w:tr w:rsidR="00C82910" w:rsidRPr="007B75B9" w:rsidTr="00C6774F">
        <w:tc>
          <w:tcPr>
            <w:tcW w:w="4786" w:type="dxa"/>
          </w:tcPr>
          <w:p w:rsidR="00C82910" w:rsidRPr="008D0AC1" w:rsidRDefault="00C82910" w:rsidP="007B75B9">
            <w:pPr>
              <w:ind w:right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встановлення ставок місцевих податків і зборів на 2019 рік.</w:t>
            </w:r>
          </w:p>
        </w:tc>
      </w:tr>
    </w:tbl>
    <w:p w:rsidR="00C82910" w:rsidRDefault="00C82910" w:rsidP="00051EE1">
      <w:pPr>
        <w:ind w:right="141"/>
        <w:rPr>
          <w:sz w:val="28"/>
          <w:szCs w:val="28"/>
          <w:lang w:val="uk-UA"/>
        </w:rPr>
      </w:pPr>
    </w:p>
    <w:p w:rsidR="00C82910" w:rsidRPr="00CB6C6E" w:rsidRDefault="00C82910" w:rsidP="00051EE1">
      <w:pPr>
        <w:ind w:right="141"/>
        <w:rPr>
          <w:sz w:val="28"/>
          <w:szCs w:val="28"/>
          <w:lang w:val="uk-UA"/>
        </w:rPr>
      </w:pPr>
    </w:p>
    <w:p w:rsidR="00C82910" w:rsidRPr="00351C37" w:rsidRDefault="00C82910" w:rsidP="00051EE1">
      <w:pPr>
        <w:ind w:right="141"/>
        <w:jc w:val="both"/>
        <w:rPr>
          <w:sz w:val="28"/>
          <w:szCs w:val="28"/>
          <w:lang w:val="uk-UA"/>
        </w:rPr>
      </w:pPr>
      <w:r w:rsidRPr="00705939">
        <w:rPr>
          <w:bCs/>
          <w:sz w:val="28"/>
          <w:szCs w:val="28"/>
          <w:lang w:val="uk-UA"/>
        </w:rPr>
        <w:t xml:space="preserve">          В</w:t>
      </w:r>
      <w:r>
        <w:rPr>
          <w:sz w:val="28"/>
          <w:szCs w:val="28"/>
          <w:lang w:val="uk-UA"/>
        </w:rPr>
        <w:t xml:space="preserve">ідповідно до статей </w:t>
      </w:r>
      <w:r w:rsidRPr="0070593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та 12 </w:t>
      </w:r>
      <w:r w:rsidRPr="00705939">
        <w:rPr>
          <w:bCs/>
          <w:sz w:val="28"/>
          <w:szCs w:val="28"/>
          <w:lang w:val="uk-UA"/>
        </w:rPr>
        <w:t>Податкового кодексу України від</w:t>
      </w:r>
      <w:r w:rsidRPr="00705939">
        <w:rPr>
          <w:sz w:val="28"/>
          <w:szCs w:val="28"/>
          <w:lang w:val="uk-UA"/>
        </w:rPr>
        <w:t xml:space="preserve"> 02 грудня 2010 року № 2755</w:t>
      </w:r>
      <w:r w:rsidRPr="00705939">
        <w:rPr>
          <w:sz w:val="28"/>
          <w:szCs w:val="28"/>
        </w:rPr>
        <w:sym w:font="Symbol" w:char="F02D"/>
      </w:r>
      <w:r w:rsidRPr="00705939">
        <w:rPr>
          <w:sz w:val="28"/>
          <w:szCs w:val="28"/>
        </w:rPr>
        <w:t>V</w:t>
      </w:r>
      <w:r w:rsidRPr="0070593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(зі змінами та доповненнями), </w:t>
      </w:r>
      <w:r w:rsidRPr="0070593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ункту 24 статті 26 </w:t>
      </w:r>
      <w:r w:rsidRPr="007059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керуючись листом Міністерства фінансів України від 26.03.2018 року № 11230-17-10/8220, двадцять четверта (позачергова) сесія сьомого скликання</w:t>
      </w:r>
      <w:r w:rsidRPr="00705939">
        <w:rPr>
          <w:sz w:val="28"/>
          <w:szCs w:val="28"/>
          <w:lang w:val="uk-UA"/>
        </w:rPr>
        <w:t xml:space="preserve"> Тячівської міської ради</w:t>
      </w:r>
    </w:p>
    <w:p w:rsidR="00C82910" w:rsidRPr="00351C37" w:rsidRDefault="00C82910" w:rsidP="00351C37">
      <w:pPr>
        <w:ind w:right="141"/>
        <w:jc w:val="center"/>
        <w:rPr>
          <w:b/>
          <w:sz w:val="28"/>
          <w:szCs w:val="28"/>
          <w:lang w:val="uk-UA"/>
        </w:rPr>
      </w:pPr>
      <w:r w:rsidRPr="00C46940">
        <w:rPr>
          <w:b/>
          <w:sz w:val="28"/>
          <w:szCs w:val="28"/>
          <w:lang w:val="uk-UA"/>
        </w:rPr>
        <w:t>в и р і ш и л а:</w:t>
      </w:r>
    </w:p>
    <w:p w:rsidR="00C82910" w:rsidRDefault="00C82910" w:rsidP="00206886">
      <w:pPr>
        <w:pStyle w:val="ListParagraph"/>
        <w:widowControl w:val="0"/>
        <w:numPr>
          <w:ilvl w:val="0"/>
          <w:numId w:val="1"/>
        </w:numPr>
        <w:autoSpaceDE w:val="0"/>
        <w:ind w:left="-142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400929">
        <w:rPr>
          <w:sz w:val="28"/>
          <w:szCs w:val="28"/>
          <w:lang w:val="uk-UA"/>
        </w:rPr>
        <w:t xml:space="preserve">рішення п’ятнадцятої сесії сьомого скликання Тячівської міської ради від </w:t>
      </w:r>
      <w:r>
        <w:rPr>
          <w:sz w:val="28"/>
          <w:szCs w:val="28"/>
          <w:lang w:val="uk-UA"/>
        </w:rPr>
        <w:t xml:space="preserve">09.06.2017 № 1604 «Про встановлення ставок, надання пільг та порядок справляння земельного податку з 01 січня 2018 року на території </w:t>
      </w:r>
      <w:r w:rsidRPr="00400929">
        <w:rPr>
          <w:sz w:val="28"/>
          <w:szCs w:val="28"/>
          <w:lang w:val="uk-UA"/>
        </w:rPr>
        <w:t>населених пунктів Тячівської міської об’єднаної територіальної грома</w:t>
      </w:r>
      <w:r>
        <w:rPr>
          <w:sz w:val="28"/>
          <w:szCs w:val="28"/>
          <w:lang w:val="uk-UA"/>
        </w:rPr>
        <w:t>ди», виклавши його в такій редакції:</w:t>
      </w:r>
    </w:p>
    <w:p w:rsidR="00C82910" w:rsidRPr="001E1A17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«1. У</w:t>
      </w:r>
      <w:r w:rsidRPr="001E1A17">
        <w:rPr>
          <w:sz w:val="28"/>
          <w:szCs w:val="28"/>
          <w:lang w:val="uk-UA"/>
        </w:rPr>
        <w:t>становити, що справляння земельного податку з 1 січня 201</w:t>
      </w:r>
      <w:r>
        <w:rPr>
          <w:sz w:val="28"/>
          <w:szCs w:val="28"/>
          <w:lang w:val="uk-UA"/>
        </w:rPr>
        <w:t>9</w:t>
      </w:r>
      <w:r w:rsidRPr="001E1A17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 території Тячівської міської об’єднаної територіальної громади</w:t>
      </w:r>
      <w:r w:rsidRPr="001E1A17">
        <w:rPr>
          <w:sz w:val="28"/>
          <w:szCs w:val="28"/>
          <w:lang w:val="uk-UA"/>
        </w:rPr>
        <w:t xml:space="preserve"> здійснюється відповідно до норм статей 269-290 Податкового Кодексу України (</w:t>
      </w:r>
      <w:r>
        <w:rPr>
          <w:sz w:val="28"/>
          <w:szCs w:val="28"/>
          <w:lang w:val="uk-UA"/>
        </w:rPr>
        <w:t>зі змінами та доповненнями)</w:t>
      </w:r>
      <w:r w:rsidRPr="001E1A17">
        <w:rPr>
          <w:sz w:val="28"/>
          <w:szCs w:val="28"/>
          <w:lang w:val="uk-UA"/>
        </w:rPr>
        <w:t>.</w:t>
      </w:r>
    </w:p>
    <w:p w:rsidR="00C82910" w:rsidRPr="003A6AB7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 w:rsidRPr="003A6AB7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Встанов</w:t>
      </w:r>
      <w:r w:rsidRPr="003A6AB7">
        <w:rPr>
          <w:sz w:val="28"/>
          <w:szCs w:val="28"/>
          <w:lang w:val="uk-UA"/>
        </w:rPr>
        <w:t>ити ставки земельного податку з 01 січня 201</w:t>
      </w:r>
      <w:r>
        <w:rPr>
          <w:sz w:val="28"/>
          <w:szCs w:val="28"/>
          <w:lang w:val="uk-UA"/>
        </w:rPr>
        <w:t>9</w:t>
      </w:r>
      <w:r w:rsidRPr="003A6AB7">
        <w:rPr>
          <w:sz w:val="28"/>
          <w:szCs w:val="28"/>
          <w:lang w:val="uk-UA"/>
        </w:rPr>
        <w:t xml:space="preserve"> року для населених пунктів Тячівської міської об’єднаної територіальної громади (міста Тячів, сіл Тячівка, Лази, Округла та Руське Поле) в таких розмірах: </w:t>
      </w:r>
    </w:p>
    <w:p w:rsidR="00C82910" w:rsidRPr="003A6AB7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 w:rsidRPr="003A6AB7">
        <w:rPr>
          <w:sz w:val="28"/>
          <w:szCs w:val="28"/>
          <w:lang w:val="uk-UA"/>
        </w:rPr>
        <w:t>2.1. Для земель загального користування – у розмірі 0,</w:t>
      </w:r>
      <w:r>
        <w:rPr>
          <w:sz w:val="28"/>
          <w:szCs w:val="28"/>
          <w:lang w:val="uk-UA"/>
        </w:rPr>
        <w:t>1</w:t>
      </w:r>
      <w:r w:rsidRPr="003A6AB7">
        <w:rPr>
          <w:sz w:val="28"/>
          <w:szCs w:val="28"/>
          <w:lang w:val="uk-UA"/>
        </w:rPr>
        <w:t xml:space="preserve"> відсотка від нормативно-грошової оцінки землі відповідного населеного пункту об’єднаної громади. </w:t>
      </w:r>
    </w:p>
    <w:p w:rsidR="00C82910" w:rsidRPr="003A6AB7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 w:rsidRPr="003A6AB7">
        <w:rPr>
          <w:sz w:val="28"/>
          <w:szCs w:val="28"/>
          <w:lang w:val="uk-UA"/>
        </w:rPr>
        <w:t>2.2. Для сільськогосподарських угідь – 0,5 відсотка від їх нормативної грошової оцінки землі відповідного населеного пункту об’єднаної громади.</w:t>
      </w:r>
    </w:p>
    <w:p w:rsidR="00C82910" w:rsidRPr="003A6AB7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 w:rsidRPr="003A6AB7">
        <w:rPr>
          <w:sz w:val="28"/>
          <w:szCs w:val="28"/>
          <w:lang w:val="uk-UA"/>
        </w:rPr>
        <w:t>2.3. Для земельних ділянок, виділених для будівництва та обслуговування житлових будинків, господарських будівель та споруд (присадибна ділянка), – у розмірі 1,0 відсоток від нормативно-грошової оцінки землі та меж економіко-планувальних зон відповідного населеного пункту об’єднаної громади.</w:t>
      </w:r>
    </w:p>
    <w:p w:rsidR="00C82910" w:rsidRPr="001E1A17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Pr="001E1A17">
        <w:rPr>
          <w:sz w:val="28"/>
          <w:szCs w:val="28"/>
          <w:lang w:val="uk-UA"/>
        </w:rPr>
        <w:t xml:space="preserve">. Для земельних ділянок несільськогосподарського призначення комерційного використання та ділянок, які зайняті під виробничими та господарськими будівлями та спорудами фізичних та юридичних осіб, які здійснюють підприємницьку діяльність на території </w:t>
      </w:r>
      <w:r>
        <w:rPr>
          <w:sz w:val="28"/>
          <w:szCs w:val="28"/>
          <w:lang w:val="uk-UA"/>
        </w:rPr>
        <w:t>населених пунктів Тячівської міської об’єднаної територіальної громади</w:t>
      </w:r>
      <w:r w:rsidRPr="001E1A17">
        <w:rPr>
          <w:sz w:val="28"/>
          <w:szCs w:val="28"/>
          <w:lang w:val="uk-UA"/>
        </w:rPr>
        <w:t xml:space="preserve">, - </w:t>
      </w:r>
      <w:r>
        <w:rPr>
          <w:sz w:val="28"/>
          <w:szCs w:val="28"/>
          <w:lang w:val="uk-UA"/>
        </w:rPr>
        <w:t>у</w:t>
      </w:r>
      <w:r w:rsidRPr="001E1A17">
        <w:rPr>
          <w:sz w:val="28"/>
          <w:szCs w:val="28"/>
          <w:lang w:val="uk-UA"/>
        </w:rPr>
        <w:t xml:space="preserve"> розмірі </w:t>
      </w:r>
      <w:r>
        <w:rPr>
          <w:sz w:val="28"/>
          <w:szCs w:val="28"/>
          <w:lang w:val="uk-UA"/>
        </w:rPr>
        <w:t xml:space="preserve"> 2 відсотки </w:t>
      </w:r>
      <w:r w:rsidRPr="001E1A17">
        <w:rPr>
          <w:sz w:val="28"/>
          <w:szCs w:val="28"/>
          <w:lang w:val="uk-UA"/>
        </w:rPr>
        <w:t>від нормативно-грошової оцінки</w:t>
      </w:r>
      <w:r>
        <w:rPr>
          <w:sz w:val="28"/>
          <w:szCs w:val="28"/>
          <w:lang w:val="uk-UA"/>
        </w:rPr>
        <w:t xml:space="preserve"> землі відповідного населеного пункту об’єднаної громади</w:t>
      </w:r>
      <w:r w:rsidRPr="001E1A17">
        <w:rPr>
          <w:sz w:val="28"/>
          <w:szCs w:val="28"/>
          <w:lang w:val="uk-UA"/>
        </w:rPr>
        <w:t xml:space="preserve">. </w:t>
      </w:r>
    </w:p>
    <w:p w:rsidR="00C82910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 w:rsidRPr="001E1A17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1E1A17">
        <w:rPr>
          <w:sz w:val="28"/>
          <w:szCs w:val="28"/>
          <w:lang w:val="uk-UA"/>
        </w:rPr>
        <w:t xml:space="preserve">. Для земельних ділянок, які перебувають у постійному користуванні суб’єктів господарювання (крім державної та комунальної власності), з власниками яких не укладено договори оренди на земельні ділянки, -  </w:t>
      </w:r>
      <w:r>
        <w:rPr>
          <w:sz w:val="28"/>
          <w:szCs w:val="28"/>
          <w:lang w:val="uk-UA"/>
        </w:rPr>
        <w:t>у</w:t>
      </w:r>
      <w:r w:rsidRPr="001E1A17">
        <w:rPr>
          <w:sz w:val="28"/>
          <w:szCs w:val="28"/>
          <w:lang w:val="uk-UA"/>
        </w:rPr>
        <w:t xml:space="preserve"> розмірі </w:t>
      </w:r>
      <w:r>
        <w:rPr>
          <w:sz w:val="28"/>
          <w:szCs w:val="28"/>
          <w:lang w:val="uk-UA"/>
        </w:rPr>
        <w:t xml:space="preserve">12 відсотків </w:t>
      </w:r>
      <w:r w:rsidRPr="001E1A17">
        <w:rPr>
          <w:sz w:val="28"/>
          <w:szCs w:val="28"/>
          <w:lang w:val="uk-UA"/>
        </w:rPr>
        <w:t>від нормативно-грошової оцінки</w:t>
      </w:r>
      <w:r>
        <w:rPr>
          <w:sz w:val="28"/>
          <w:szCs w:val="28"/>
          <w:lang w:val="uk-UA"/>
        </w:rPr>
        <w:t xml:space="preserve"> землі відповідного населеного пункту об’єднаної громади. </w:t>
      </w:r>
    </w:p>
    <w:p w:rsidR="00C82910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Для земельних ділянок, які перебувають у постійному користуванні суб’єктів господарювання державної, комунальної форм власності та організацій (установ, закладів) об’єднань громадян, - в розмірі 3 відсотки від нормативно-грошової оцінки землі відповідних населених пунктів об’єднаної громади. </w:t>
      </w:r>
    </w:p>
    <w:p w:rsidR="00C82910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Для земельних ділянок, розташованих за межами населених пунктів Тячівської міської об’єднаної територіальної громади, нормативно-грошову оцінку яких не проведено, - у розмірі 4 відсотки від нормативно-грошової оцінки одиниці площі ріллі по Закарпатській області. </w:t>
      </w:r>
    </w:p>
    <w:p w:rsidR="00C82910" w:rsidRPr="001E1A17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 w:rsidRPr="001E1A17">
        <w:rPr>
          <w:sz w:val="28"/>
          <w:szCs w:val="28"/>
          <w:lang w:val="uk-UA"/>
        </w:rPr>
        <w:t xml:space="preserve">3. Звільнити від сплати земельного податку органи державної влади та органи місцевого самоврядування; органи прокуратури; заклади, установи та організації, які повністю утримуються за рахунок коштів державного та місцевих бюджетів; дошкільні та загальноосвітні навчальні заклади незалежно від форм власності і джерел фінансування; заклади культури, науки, освіти, охорони здоров’я, соціального захисту, фізичної культури та спорту, які повністю утримуються за рахунок коштів державного або місцевого бюджету. </w:t>
      </w:r>
    </w:p>
    <w:p w:rsidR="00C82910" w:rsidRDefault="00C82910" w:rsidP="00F4720D">
      <w:pPr>
        <w:ind w:left="-180" w:right="355" w:firstLine="888"/>
        <w:jc w:val="both"/>
        <w:rPr>
          <w:sz w:val="28"/>
          <w:szCs w:val="28"/>
          <w:lang w:val="uk-UA"/>
        </w:rPr>
      </w:pPr>
      <w:r w:rsidRPr="001E1A17">
        <w:rPr>
          <w:sz w:val="28"/>
          <w:szCs w:val="28"/>
          <w:lang w:val="uk-UA"/>
        </w:rPr>
        <w:t xml:space="preserve">4. Державній податковій інспекції у Тячівському районі вжити заходи щодо правильності нарахування та забезпечення повноти сплати коштів платниками земельного податку в дохід бюджету </w:t>
      </w:r>
      <w:r>
        <w:rPr>
          <w:sz w:val="28"/>
          <w:szCs w:val="28"/>
          <w:lang w:val="uk-UA"/>
        </w:rPr>
        <w:t>відповід</w:t>
      </w:r>
      <w:r w:rsidRPr="001E1A17">
        <w:rPr>
          <w:sz w:val="28"/>
          <w:szCs w:val="28"/>
          <w:lang w:val="uk-UA"/>
        </w:rPr>
        <w:t>но</w:t>
      </w:r>
      <w:r>
        <w:rPr>
          <w:sz w:val="28"/>
          <w:szCs w:val="28"/>
          <w:lang w:val="uk-UA"/>
        </w:rPr>
        <w:t xml:space="preserve"> до </w:t>
      </w:r>
      <w:r w:rsidRPr="001E1A17">
        <w:rPr>
          <w:sz w:val="28"/>
          <w:szCs w:val="28"/>
          <w:lang w:val="uk-UA"/>
        </w:rPr>
        <w:t xml:space="preserve"> діючого законодавства</w:t>
      </w:r>
      <w:r>
        <w:rPr>
          <w:sz w:val="28"/>
          <w:szCs w:val="28"/>
          <w:lang w:val="uk-UA"/>
        </w:rPr>
        <w:t xml:space="preserve"> та цього рішення».</w:t>
      </w:r>
    </w:p>
    <w:p w:rsidR="00C82910" w:rsidRPr="00400929" w:rsidRDefault="00C82910" w:rsidP="00F4720D">
      <w:pPr>
        <w:pStyle w:val="ListParagraph"/>
        <w:widowControl w:val="0"/>
        <w:autoSpaceDE w:val="0"/>
        <w:ind w:left="0" w:right="141" w:firstLine="851"/>
        <w:jc w:val="both"/>
        <w:rPr>
          <w:sz w:val="28"/>
          <w:szCs w:val="28"/>
          <w:lang w:val="uk-UA"/>
        </w:rPr>
      </w:pPr>
    </w:p>
    <w:p w:rsidR="00C82910" w:rsidRDefault="00C82910" w:rsidP="00400929">
      <w:pPr>
        <w:pStyle w:val="ListParagraph"/>
        <w:widowControl w:val="0"/>
        <w:autoSpaceDE w:val="0"/>
        <w:ind w:left="1211" w:right="141"/>
        <w:jc w:val="both"/>
        <w:rPr>
          <w:sz w:val="28"/>
          <w:szCs w:val="28"/>
          <w:lang w:val="uk-UA"/>
        </w:rPr>
      </w:pPr>
    </w:p>
    <w:p w:rsidR="00C82910" w:rsidRDefault="00C82910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податку на нерухоме майно на 2019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</w:t>
      </w:r>
      <w:r w:rsidRPr="00400929">
        <w:rPr>
          <w:sz w:val="28"/>
          <w:szCs w:val="28"/>
          <w:lang w:val="uk-UA"/>
        </w:rPr>
        <w:t xml:space="preserve"> п’ятнадцятої сесії сьомого скликання Тячівської міської ради від </w:t>
      </w:r>
      <w:r>
        <w:rPr>
          <w:sz w:val="28"/>
          <w:szCs w:val="28"/>
          <w:lang w:val="uk-UA"/>
        </w:rPr>
        <w:t>09.06.2017 № 1603 «Про затвердження Положення про</w:t>
      </w:r>
      <w:r w:rsidRPr="00400929">
        <w:rPr>
          <w:sz w:val="28"/>
          <w:szCs w:val="28"/>
          <w:lang w:val="uk-UA"/>
        </w:rPr>
        <w:t xml:space="preserve"> податок на нерухоме майно, відмінне від земельної ділянки, що справляється на території населених пунктів Тячівської міської об’єднаної територіальної громади (м. Тячів, сіл Тячівка, Руське Поле, Лази та Округла).</w:t>
      </w:r>
    </w:p>
    <w:p w:rsidR="00C82910" w:rsidRDefault="00C82910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єдиного податку на 2019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м </w:t>
      </w:r>
      <w:r w:rsidRPr="00400929">
        <w:rPr>
          <w:sz w:val="28"/>
          <w:szCs w:val="28"/>
          <w:lang w:val="uk-UA"/>
        </w:rPr>
        <w:t xml:space="preserve">п’ятнадцятої сесії сьомого скликання Тячівської міської ради від </w:t>
      </w:r>
      <w:r>
        <w:rPr>
          <w:sz w:val="28"/>
          <w:szCs w:val="28"/>
          <w:lang w:val="uk-UA"/>
        </w:rPr>
        <w:t xml:space="preserve">09.06.2017 № 1605 «Про справляння єдиного податку та встановлення ставок цього податку </w:t>
      </w:r>
      <w:r w:rsidRPr="00400929">
        <w:rPr>
          <w:sz w:val="28"/>
          <w:szCs w:val="28"/>
          <w:lang w:val="uk-UA"/>
        </w:rPr>
        <w:t>на території населених пунктів Тячівської міської об’єднано</w:t>
      </w:r>
      <w:r>
        <w:rPr>
          <w:sz w:val="28"/>
          <w:szCs w:val="28"/>
          <w:lang w:val="uk-UA"/>
        </w:rPr>
        <w:t>ї територіальної громади з 01 січня 2018 року».</w:t>
      </w:r>
    </w:p>
    <w:p w:rsidR="00C82910" w:rsidRDefault="00C82910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туристичного збору на 2019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 тридцять першої</w:t>
      </w:r>
      <w:r w:rsidRPr="00400929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шост</w:t>
      </w:r>
      <w:r w:rsidRPr="00400929">
        <w:rPr>
          <w:sz w:val="28"/>
          <w:szCs w:val="28"/>
          <w:lang w:val="uk-UA"/>
        </w:rPr>
        <w:t xml:space="preserve">ого скликання Тячівської міської ради від </w:t>
      </w:r>
      <w:r>
        <w:rPr>
          <w:sz w:val="28"/>
          <w:szCs w:val="28"/>
          <w:lang w:val="uk-UA"/>
        </w:rPr>
        <w:t>29.01.2015 № 4647 «Про затвердження Положення про порядок обчислення і сплати туристичного збору на території м. Тячів та с.</w:t>
      </w:r>
      <w:bookmarkStart w:id="0" w:name="_GoBack"/>
      <w:bookmarkEnd w:id="0"/>
      <w:r>
        <w:rPr>
          <w:sz w:val="28"/>
          <w:szCs w:val="28"/>
          <w:lang w:val="uk-UA"/>
        </w:rPr>
        <w:t>Тячівка».</w:t>
      </w:r>
    </w:p>
    <w:p w:rsidR="00C82910" w:rsidRDefault="00C82910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збору за місця для паркування транспортних засобів на 2019 рік згідно з</w:t>
      </w:r>
      <w:r w:rsidRPr="0040092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 тридцять першої</w:t>
      </w:r>
      <w:r w:rsidRPr="00400929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шост</w:t>
      </w:r>
      <w:r w:rsidRPr="00400929">
        <w:rPr>
          <w:sz w:val="28"/>
          <w:szCs w:val="28"/>
          <w:lang w:val="uk-UA"/>
        </w:rPr>
        <w:t xml:space="preserve">ого скликання Тячівської міської ради від </w:t>
      </w:r>
      <w:r>
        <w:rPr>
          <w:sz w:val="28"/>
          <w:szCs w:val="28"/>
          <w:lang w:val="uk-UA"/>
        </w:rPr>
        <w:t>29.01.2015 № 4648 «Про затвердження Положення про збір за місця для паркування транспортних засобів».</w:t>
      </w:r>
    </w:p>
    <w:p w:rsidR="00C82910" w:rsidRDefault="00C82910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6. Оприлюднити дане рішення у міській газеті «Тячів» та на офіційному сайті міста Тячів та Тячівської міської ради за адресою</w:t>
      </w:r>
      <w:hyperlink r:id="rId7" w:history="1">
        <w:r w:rsidRPr="00604309">
          <w:rPr>
            <w:rStyle w:val="Hyperlink"/>
            <w:b/>
            <w:bCs/>
            <w:szCs w:val="28"/>
          </w:rPr>
          <w:t>www</w:t>
        </w:r>
        <w:r w:rsidRPr="00606696">
          <w:rPr>
            <w:rStyle w:val="Hyperlink"/>
            <w:b/>
            <w:bCs/>
            <w:szCs w:val="28"/>
          </w:rPr>
          <w:t>.</w:t>
        </w:r>
        <w:r w:rsidRPr="00604309">
          <w:rPr>
            <w:rStyle w:val="Hyperlink"/>
            <w:b/>
            <w:bCs/>
            <w:szCs w:val="28"/>
            <w:lang w:val="en-US"/>
          </w:rPr>
          <w:t>tyachiv</w:t>
        </w:r>
        <w:r w:rsidRPr="00606696">
          <w:rPr>
            <w:rStyle w:val="Hyperlink"/>
            <w:b/>
            <w:bCs/>
            <w:szCs w:val="28"/>
          </w:rPr>
          <w:t>.</w:t>
        </w:r>
        <w:r w:rsidRPr="00604309">
          <w:rPr>
            <w:rStyle w:val="Hyperlink"/>
            <w:b/>
            <w:bCs/>
            <w:szCs w:val="28"/>
            <w:lang w:val="en-US"/>
          </w:rPr>
          <w:t>in</w:t>
        </w:r>
        <w:r w:rsidRPr="00606696">
          <w:rPr>
            <w:rStyle w:val="Hyperlink"/>
            <w:b/>
            <w:bCs/>
            <w:szCs w:val="28"/>
          </w:rPr>
          <w:t>.</w:t>
        </w:r>
        <w:r w:rsidRPr="00604309">
          <w:rPr>
            <w:rStyle w:val="Hyperlink"/>
            <w:b/>
            <w:bCs/>
            <w:szCs w:val="28"/>
            <w:lang w:val="en-US"/>
          </w:rPr>
          <w:t>ua</w:t>
        </w:r>
      </w:hyperlink>
      <w:r w:rsidRPr="00C75A0D">
        <w:rPr>
          <w:bCs/>
          <w:sz w:val="28"/>
          <w:szCs w:val="28"/>
        </w:rPr>
        <w:t>та надіслати Державній податковій інспекці</w:t>
      </w:r>
      <w:r>
        <w:rPr>
          <w:bCs/>
          <w:sz w:val="28"/>
          <w:szCs w:val="28"/>
        </w:rPr>
        <w:t>ї у Тячівському районі</w:t>
      </w:r>
      <w:r w:rsidRPr="00C75A0D">
        <w:rPr>
          <w:bCs/>
          <w:sz w:val="28"/>
          <w:szCs w:val="28"/>
        </w:rPr>
        <w:t xml:space="preserve"> дл</w:t>
      </w:r>
      <w:r>
        <w:rPr>
          <w:bCs/>
          <w:sz w:val="28"/>
          <w:szCs w:val="28"/>
        </w:rPr>
        <w:t>я контролю за справлянням цих податків та зборів</w:t>
      </w:r>
      <w:r w:rsidRPr="00C75A0D">
        <w:rPr>
          <w:bCs/>
          <w:sz w:val="28"/>
          <w:szCs w:val="28"/>
        </w:rPr>
        <w:t>.</w:t>
      </w:r>
    </w:p>
    <w:p w:rsidR="00C82910" w:rsidRDefault="00C82910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Контроль за виконанням даного рішення покласти на депутатську </w:t>
      </w:r>
      <w:r w:rsidRPr="00257BCB">
        <w:rPr>
          <w:bCs/>
          <w:color w:val="000000"/>
          <w:sz w:val="28"/>
          <w:szCs w:val="28"/>
        </w:rPr>
        <w:t>комісію з питань планування бюджету, фінансів, торгівельного та побутового</w:t>
      </w:r>
      <w:r>
        <w:rPr>
          <w:bCs/>
          <w:sz w:val="28"/>
          <w:szCs w:val="28"/>
        </w:rPr>
        <w:t xml:space="preserve"> обслуговування населення, розвитку підприємництва</w:t>
      </w:r>
      <w:r w:rsidRPr="00606696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голова – МийсарошТ.С.).</w:t>
      </w:r>
    </w:p>
    <w:p w:rsidR="00C82910" w:rsidRDefault="00C82910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C82910" w:rsidRDefault="00C82910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C82910" w:rsidRPr="00791E05" w:rsidRDefault="00C82910" w:rsidP="00351C37">
      <w:pPr>
        <w:pStyle w:val="StyleZakonu"/>
        <w:spacing w:after="0" w:line="240" w:lineRule="auto"/>
        <w:ind w:right="141" w:firstLine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Міський 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І. І.  Ковач</w:t>
      </w:r>
    </w:p>
    <w:p w:rsidR="00C82910" w:rsidRDefault="00C82910" w:rsidP="000B58F6">
      <w:pPr>
        <w:ind w:right="141" w:firstLine="851"/>
      </w:pPr>
    </w:p>
    <w:sectPr w:rsidR="00C82910" w:rsidSect="00D9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A6A26"/>
    <w:multiLevelType w:val="hybridMultilevel"/>
    <w:tmpl w:val="F70AF286"/>
    <w:lvl w:ilvl="0" w:tplc="6974E89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CE5"/>
    <w:rsid w:val="00000E45"/>
    <w:rsid w:val="00011C3E"/>
    <w:rsid w:val="00051EE1"/>
    <w:rsid w:val="00085AF2"/>
    <w:rsid w:val="000B58F6"/>
    <w:rsid w:val="000F5AF2"/>
    <w:rsid w:val="0012510E"/>
    <w:rsid w:val="00197CE5"/>
    <w:rsid w:val="001D2EF0"/>
    <w:rsid w:val="001E1A17"/>
    <w:rsid w:val="00206886"/>
    <w:rsid w:val="00257BCB"/>
    <w:rsid w:val="00285211"/>
    <w:rsid w:val="003110A7"/>
    <w:rsid w:val="00351C37"/>
    <w:rsid w:val="003A6AB7"/>
    <w:rsid w:val="00400929"/>
    <w:rsid w:val="004B2587"/>
    <w:rsid w:val="004F2DD1"/>
    <w:rsid w:val="00552342"/>
    <w:rsid w:val="00593B6B"/>
    <w:rsid w:val="005C5897"/>
    <w:rsid w:val="005D59AE"/>
    <w:rsid w:val="00604309"/>
    <w:rsid w:val="00606696"/>
    <w:rsid w:val="0066691A"/>
    <w:rsid w:val="006873B9"/>
    <w:rsid w:val="006A1DF5"/>
    <w:rsid w:val="00705939"/>
    <w:rsid w:val="00745401"/>
    <w:rsid w:val="00791E05"/>
    <w:rsid w:val="007B75B9"/>
    <w:rsid w:val="007F4E85"/>
    <w:rsid w:val="008C1B12"/>
    <w:rsid w:val="008D0AC1"/>
    <w:rsid w:val="008E0B97"/>
    <w:rsid w:val="009D745C"/>
    <w:rsid w:val="00AD1C6B"/>
    <w:rsid w:val="00AD524E"/>
    <w:rsid w:val="00AF5ABF"/>
    <w:rsid w:val="00B32D25"/>
    <w:rsid w:val="00BD6093"/>
    <w:rsid w:val="00C00444"/>
    <w:rsid w:val="00C46940"/>
    <w:rsid w:val="00C64E5D"/>
    <w:rsid w:val="00C6774F"/>
    <w:rsid w:val="00C75A0D"/>
    <w:rsid w:val="00C82910"/>
    <w:rsid w:val="00C93297"/>
    <w:rsid w:val="00CB6C6E"/>
    <w:rsid w:val="00CC5615"/>
    <w:rsid w:val="00CE44EC"/>
    <w:rsid w:val="00CE55BE"/>
    <w:rsid w:val="00D9093B"/>
    <w:rsid w:val="00DA6911"/>
    <w:rsid w:val="00E128B3"/>
    <w:rsid w:val="00EE4E48"/>
    <w:rsid w:val="00EF2F5D"/>
    <w:rsid w:val="00F4720D"/>
    <w:rsid w:val="00FC4F61"/>
    <w:rsid w:val="00FC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E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7CE5"/>
    <w:pPr>
      <w:keepNext/>
      <w:jc w:val="center"/>
      <w:outlineLvl w:val="0"/>
    </w:pPr>
    <w:rPr>
      <w:b/>
      <w:bCs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7CE5"/>
    <w:pPr>
      <w:keepNext/>
      <w:outlineLvl w:val="3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StyleZakonu">
    <w:name w:val="StyleZakonu"/>
    <w:basedOn w:val="Normal"/>
    <w:uiPriority w:val="99"/>
    <w:rsid w:val="00197CE5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197CE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009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64E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4E5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yachiv.in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883</Words>
  <Characters>5037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Финансы</dc:creator>
  <cp:keywords/>
  <dc:description/>
  <cp:lastModifiedBy>user3344</cp:lastModifiedBy>
  <cp:revision>40</cp:revision>
  <cp:lastPrinted>2018-06-19T07:51:00Z</cp:lastPrinted>
  <dcterms:created xsi:type="dcterms:W3CDTF">2017-06-02T12:03:00Z</dcterms:created>
  <dcterms:modified xsi:type="dcterms:W3CDTF">2018-06-21T08:59:00Z</dcterms:modified>
</cp:coreProperties>
</file>