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8B" w:rsidRPr="001C2B16" w:rsidRDefault="00E6568B" w:rsidP="0022281A">
      <w:pPr>
        <w:pStyle w:val="20"/>
        <w:keepNext/>
        <w:keepLines/>
        <w:shd w:val="clear" w:color="auto" w:fill="auto"/>
        <w:spacing w:before="0" w:line="240" w:lineRule="auto"/>
        <w:ind w:right="20"/>
        <w:jc w:val="left"/>
        <w:rPr>
          <w:rFonts w:ascii="Times New Roman" w:hAnsi="Times New Roman"/>
          <w:i/>
          <w:sz w:val="24"/>
          <w:szCs w:val="24"/>
        </w:rPr>
      </w:pPr>
      <w:bookmarkStart w:id="0" w:name="bookmark0"/>
      <w:r>
        <w:rPr>
          <w:sz w:val="28"/>
          <w:szCs w:val="28"/>
        </w:rPr>
        <w:t xml:space="preserve">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575201160" r:id="rId8"/>
        </w:object>
      </w:r>
    </w:p>
    <w:bookmarkEnd w:id="0"/>
    <w:p w:rsidR="00E6568B" w:rsidRPr="001C2B16" w:rsidRDefault="00E6568B" w:rsidP="001C2B16">
      <w:pPr>
        <w:jc w:val="center"/>
        <w:rPr>
          <w:rFonts w:ascii="Times New Roman" w:cs="Times New Roman"/>
          <w:sz w:val="28"/>
          <w:szCs w:val="28"/>
        </w:rPr>
      </w:pPr>
      <w:r w:rsidRPr="001C2B16">
        <w:rPr>
          <w:rFonts w:ascii="Times New Roman" w:cs="Times New Roman"/>
          <w:b/>
          <w:sz w:val="28"/>
          <w:szCs w:val="28"/>
        </w:rPr>
        <w:t>У К Р А Ї Н А</w:t>
      </w:r>
    </w:p>
    <w:p w:rsidR="00E6568B" w:rsidRPr="001C2B16" w:rsidRDefault="00E6568B" w:rsidP="001C2B16">
      <w:pPr>
        <w:jc w:val="center"/>
        <w:rPr>
          <w:rFonts w:ascii="Times New Roman" w:cs="Times New Roman"/>
          <w:b/>
          <w:bCs/>
          <w:sz w:val="28"/>
          <w:szCs w:val="28"/>
        </w:rPr>
      </w:pPr>
      <w:r w:rsidRPr="001C2B16">
        <w:rPr>
          <w:rFonts w:ascii="Times New Roman" w:cs="Times New Roman"/>
          <w:b/>
          <w:bCs/>
          <w:sz w:val="28"/>
          <w:szCs w:val="28"/>
        </w:rPr>
        <w:t>ТЯЧІВСЬКА  МІСЬКА  РАДА</w:t>
      </w:r>
    </w:p>
    <w:p w:rsidR="00E6568B" w:rsidRPr="001C2B16" w:rsidRDefault="00E6568B" w:rsidP="001C2B16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Двадцята</w:t>
      </w:r>
      <w:r w:rsidRPr="001C2B16">
        <w:rPr>
          <w:rFonts w:ascii="Times New Roman" w:cs="Times New Roman"/>
          <w:b/>
          <w:sz w:val="28"/>
          <w:szCs w:val="28"/>
        </w:rPr>
        <w:t xml:space="preserve"> сесія сьомого скликання</w:t>
      </w:r>
    </w:p>
    <w:p w:rsidR="00E6568B" w:rsidRPr="001C2B16" w:rsidRDefault="00E6568B" w:rsidP="001C2B16">
      <w:pPr>
        <w:jc w:val="center"/>
        <w:rPr>
          <w:rFonts w:ascii="Times New Roman" w:cs="Times New Roman"/>
          <w:b/>
          <w:sz w:val="28"/>
          <w:szCs w:val="28"/>
        </w:rPr>
      </w:pPr>
      <w:r w:rsidRPr="001C2B16">
        <w:rPr>
          <w:rFonts w:ascii="Times New Roman" w:cs="Times New Roman"/>
          <w:b/>
          <w:sz w:val="28"/>
          <w:szCs w:val="28"/>
        </w:rPr>
        <w:t>Р І Ш Е Н Н Я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val="uk-UA" w:eastAsia="uk-UA"/>
        </w:rPr>
      </w:pP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val="uk-UA"/>
        </w:rPr>
      </w:pP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 xml:space="preserve">від 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15 </w:t>
      </w: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>грудня</w:t>
      </w:r>
      <w:r>
        <w:rPr>
          <w:rStyle w:val="11"/>
          <w:rFonts w:ascii="Times New Roman" w:hAnsi="Times New Roman"/>
          <w:sz w:val="28"/>
          <w:szCs w:val="28"/>
          <w:lang w:val="uk-UA"/>
        </w:rPr>
        <w:t xml:space="preserve"> </w:t>
      </w:r>
      <w:r w:rsidRPr="001C2B16">
        <w:rPr>
          <w:rStyle w:val="11"/>
          <w:rFonts w:ascii="Times New Roman" w:hAnsi="Times New Roman"/>
          <w:sz w:val="28"/>
          <w:szCs w:val="28"/>
        </w:rPr>
        <w:t>201</w:t>
      </w: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>7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 xml:space="preserve">року </w:t>
      </w:r>
      <w:r w:rsidRPr="001C2B16">
        <w:rPr>
          <w:rStyle w:val="11"/>
          <w:rFonts w:ascii="Times New Roman" w:hAnsi="Times New Roman"/>
          <w:sz w:val="28"/>
          <w:szCs w:val="28"/>
        </w:rPr>
        <w:t>№</w:t>
      </w:r>
      <w:r>
        <w:rPr>
          <w:rStyle w:val="11"/>
          <w:rFonts w:ascii="Times New Roman" w:hAnsi="Times New Roman"/>
          <w:sz w:val="28"/>
          <w:szCs w:val="28"/>
          <w:lang w:val="uk-UA"/>
        </w:rPr>
        <w:t xml:space="preserve"> 2073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eastAsia="uk-UA"/>
        </w:rPr>
      </w:pP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>м.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>Тячів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eastAsia="uk-UA"/>
        </w:rPr>
      </w:pP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val="uk-UA" w:eastAsia="uk-UA"/>
        </w:rPr>
      </w:pP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>затвердження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>Програм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и 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>утримання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val="uk-UA" w:eastAsia="uk-UA"/>
        </w:rPr>
      </w:pP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>т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>а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 xml:space="preserve"> розвитку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>інфраструктури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 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>спортивних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val="uk-UA" w:eastAsia="uk-UA"/>
        </w:rPr>
      </w:pP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>с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>поруд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Тячівського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міського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комунального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b/>
          <w:sz w:val="28"/>
          <w:szCs w:val="28"/>
          <w:lang w:val="uk-UA" w:eastAsia="uk-UA"/>
        </w:rPr>
      </w:pP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закладу «Спортивні арени» на </w:t>
      </w: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>2018</w:t>
      </w:r>
      <w:r>
        <w:rPr>
          <w:rStyle w:val="11"/>
          <w:rFonts w:ascii="Times New Roman" w:hAnsi="Times New Roman"/>
          <w:sz w:val="28"/>
          <w:szCs w:val="28"/>
          <w:lang w:val="uk-UA"/>
        </w:rPr>
        <w:t xml:space="preserve"> – 2020 роки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>.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val="uk-UA" w:eastAsia="uk-UA"/>
        </w:rPr>
      </w:pP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8"/>
          <w:szCs w:val="28"/>
          <w:lang w:val="uk-UA" w:eastAsia="uk-UA"/>
        </w:rPr>
      </w:pP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jc w:val="both"/>
        <w:rPr>
          <w:rStyle w:val="11"/>
          <w:rFonts w:ascii="Times New Roman" w:hAnsi="Times New Roman"/>
          <w:sz w:val="28"/>
          <w:szCs w:val="28"/>
          <w:lang w:val="uk-UA" w:eastAsia="uk-UA"/>
        </w:rPr>
      </w:pP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        На виконання Закону України "Про фізичну культуру і спорт" з метою забезпечення розвитку фізичної культури та спорту, утримання в належному стані та розвитку інфраструктури спортивних споруд Тячівського міського комунального закладу «Спортивні арени», керуючись статтею </w:t>
      </w: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 xml:space="preserve">26 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Закону України "Про місцеве самоврядування в Україні", 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>двадцята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сесія сьомого скликання Тячівської міської ради</w:t>
      </w:r>
    </w:p>
    <w:p w:rsidR="00E6568B" w:rsidRPr="001C2B16" w:rsidRDefault="00E6568B" w:rsidP="001C2B16">
      <w:pPr>
        <w:pStyle w:val="4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1C2B16">
        <w:rPr>
          <w:rFonts w:ascii="Times New Roman" w:hAnsi="Times New Roman"/>
          <w:sz w:val="28"/>
          <w:szCs w:val="28"/>
          <w:lang w:eastAsia="uk-UA"/>
        </w:rPr>
        <w:t xml:space="preserve">в и р і ш и л а : </w:t>
      </w: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ind w:firstLine="820"/>
        <w:jc w:val="both"/>
        <w:rPr>
          <w:rStyle w:val="11"/>
          <w:rFonts w:ascii="Times New Roman" w:hAnsi="Times New Roman"/>
          <w:sz w:val="28"/>
          <w:szCs w:val="28"/>
          <w:lang w:val="uk-UA"/>
        </w:rPr>
      </w:pPr>
    </w:p>
    <w:p w:rsidR="00E6568B" w:rsidRPr="001C2B16" w:rsidRDefault="00E6568B" w:rsidP="001C2B16">
      <w:pPr>
        <w:pStyle w:val="BodyText"/>
        <w:shd w:val="clear" w:color="auto" w:fill="auto"/>
        <w:spacing w:after="0" w:line="240" w:lineRule="auto"/>
        <w:jc w:val="both"/>
        <w:rPr>
          <w:rStyle w:val="11"/>
          <w:rFonts w:ascii="Times New Roman" w:hAnsi="Times New Roman"/>
          <w:sz w:val="28"/>
          <w:szCs w:val="28"/>
          <w:lang w:val="uk-UA"/>
        </w:rPr>
      </w:pP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 xml:space="preserve">          1.Затвердити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 xml:space="preserve"> Програму утримання та розвитку інфраструктури спортивних споруд 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>Тячівського міського комунального закладу «Спортивні арени»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 xml:space="preserve"> на </w:t>
      </w: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>2018</w:t>
      </w:r>
      <w:r>
        <w:rPr>
          <w:rStyle w:val="11"/>
          <w:rFonts w:ascii="Times New Roman" w:hAnsi="Times New Roman"/>
          <w:sz w:val="28"/>
          <w:szCs w:val="28"/>
          <w:lang w:val="uk-UA"/>
        </w:rPr>
        <w:t xml:space="preserve"> – 2020 роки </w:t>
      </w:r>
      <w:r w:rsidRPr="001C2B16">
        <w:rPr>
          <w:rStyle w:val="11"/>
          <w:rFonts w:ascii="Times New Roman" w:hAnsi="Times New Roman"/>
          <w:sz w:val="28"/>
          <w:szCs w:val="28"/>
          <w:lang w:eastAsia="uk-UA"/>
        </w:rPr>
        <w:t>(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>додається</w:t>
      </w: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>).</w:t>
      </w:r>
    </w:p>
    <w:p w:rsidR="00E6568B" w:rsidRPr="001C2B16" w:rsidRDefault="00E6568B" w:rsidP="001C2B16">
      <w:pPr>
        <w:pStyle w:val="BodyText"/>
        <w:shd w:val="clear" w:color="auto" w:fill="auto"/>
        <w:tabs>
          <w:tab w:val="left" w:pos="2198"/>
        </w:tabs>
        <w:spacing w:after="0" w:line="240" w:lineRule="auto"/>
        <w:jc w:val="both"/>
        <w:rPr>
          <w:rStyle w:val="11"/>
          <w:rFonts w:ascii="Times New Roman" w:hAnsi="Times New Roman"/>
          <w:sz w:val="28"/>
          <w:szCs w:val="28"/>
          <w:lang w:val="uk-UA" w:eastAsia="uk-UA"/>
        </w:rPr>
      </w:pPr>
    </w:p>
    <w:p w:rsidR="00E6568B" w:rsidRPr="001C2B16" w:rsidRDefault="00E6568B" w:rsidP="001C2B16">
      <w:pPr>
        <w:pStyle w:val="BodyText"/>
        <w:shd w:val="clear" w:color="auto" w:fill="auto"/>
        <w:tabs>
          <w:tab w:val="left" w:pos="4075"/>
        </w:tabs>
        <w:spacing w:after="0" w:line="240" w:lineRule="auto"/>
        <w:jc w:val="both"/>
        <w:rPr>
          <w:rStyle w:val="11"/>
          <w:rFonts w:ascii="Times New Roman" w:hAnsi="Times New Roman"/>
          <w:sz w:val="28"/>
          <w:szCs w:val="28"/>
          <w:lang w:val="uk-UA" w:eastAsia="uk-UA"/>
        </w:rPr>
      </w:pP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         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 xml:space="preserve">2.Фінансовому відділу міської ради забезпечити фінансування заходів, пов'язаних з реалізацією Програми, в межах асигнувань, передбачених бюджетом на </w:t>
      </w:r>
      <w:r w:rsidRPr="001C2B16">
        <w:rPr>
          <w:rStyle w:val="11"/>
          <w:rFonts w:ascii="Times New Roman" w:hAnsi="Times New Roman"/>
          <w:sz w:val="28"/>
          <w:szCs w:val="28"/>
          <w:lang w:val="uk-UA"/>
        </w:rPr>
        <w:t>2018</w:t>
      </w:r>
      <w:r>
        <w:rPr>
          <w:rStyle w:val="11"/>
          <w:rFonts w:ascii="Times New Roman" w:hAnsi="Times New Roman"/>
          <w:sz w:val="28"/>
          <w:szCs w:val="28"/>
          <w:lang w:val="uk-UA"/>
        </w:rPr>
        <w:t xml:space="preserve"> – 2020 роки</w:t>
      </w:r>
      <w:r w:rsidRPr="001C2B16">
        <w:rPr>
          <w:rStyle w:val="11"/>
          <w:rFonts w:ascii="Times New Roman" w:hAnsi="Times New Roman"/>
          <w:sz w:val="28"/>
          <w:szCs w:val="28"/>
          <w:lang w:val="uk-UA" w:eastAsia="uk-UA"/>
        </w:rPr>
        <w:t>.</w:t>
      </w:r>
    </w:p>
    <w:p w:rsidR="00E6568B" w:rsidRPr="001C2B16" w:rsidRDefault="00E6568B" w:rsidP="001C2B16">
      <w:pPr>
        <w:pStyle w:val="BodyText"/>
        <w:shd w:val="clear" w:color="auto" w:fill="auto"/>
        <w:tabs>
          <w:tab w:val="left" w:pos="4075"/>
        </w:tabs>
        <w:spacing w:after="0" w:line="240" w:lineRule="auto"/>
        <w:jc w:val="both"/>
        <w:rPr>
          <w:rStyle w:val="11"/>
          <w:rFonts w:ascii="Times New Roman" w:hAnsi="Times New Roman"/>
          <w:sz w:val="28"/>
          <w:szCs w:val="28"/>
          <w:lang w:val="uk-UA" w:eastAsia="uk-UA"/>
        </w:rPr>
      </w:pPr>
    </w:p>
    <w:p w:rsidR="00E6568B" w:rsidRPr="001C2B16" w:rsidRDefault="00E6568B" w:rsidP="001C2B16">
      <w:pPr>
        <w:tabs>
          <w:tab w:val="left" w:pos="540"/>
        </w:tabs>
        <w:jc w:val="both"/>
        <w:rPr>
          <w:rFonts w:ascii="Times New Roman" w:cs="Times New Roman"/>
          <w:sz w:val="28"/>
          <w:szCs w:val="28"/>
        </w:rPr>
      </w:pPr>
      <w:r w:rsidRPr="001C2B16">
        <w:rPr>
          <w:rStyle w:val="11"/>
          <w:rFonts w:ascii="Times New Roman"/>
          <w:sz w:val="28"/>
          <w:szCs w:val="28"/>
        </w:rPr>
        <w:t xml:space="preserve">          3.Контроль за виконанням даного рішення покласти на </w:t>
      </w:r>
      <w:r w:rsidRPr="001C2B16">
        <w:rPr>
          <w:rFonts w:ascii="Times New Roman" w:cs="Times New Roman"/>
          <w:sz w:val="28"/>
          <w:szCs w:val="28"/>
        </w:rPr>
        <w:t>депутатські комісії з питань освіти, культури, молоді, фізкультури і спорту, охорони здоров’я та соціального захисту населення (голова Джурджа В.В.) та з питань планування фінансів, бюджету, соціально-економічного розвитку, промисловості, підприємництва та сфери послуг (голова Мийсарош Т.С.).</w:t>
      </w:r>
    </w:p>
    <w:p w:rsidR="00E6568B" w:rsidRPr="001C2B16" w:rsidRDefault="00E6568B" w:rsidP="001C2B16">
      <w:pPr>
        <w:ind w:firstLine="708"/>
        <w:jc w:val="both"/>
        <w:rPr>
          <w:rFonts w:ascii="Times New Roman" w:cs="Times New Roman"/>
          <w:sz w:val="28"/>
          <w:szCs w:val="28"/>
        </w:rPr>
      </w:pPr>
    </w:p>
    <w:p w:rsidR="00E6568B" w:rsidRPr="001C2B16" w:rsidRDefault="00E6568B" w:rsidP="001C2B16">
      <w:pPr>
        <w:ind w:firstLine="708"/>
        <w:jc w:val="both"/>
        <w:rPr>
          <w:rFonts w:ascii="Times New Roman" w:cs="Times New Roman"/>
          <w:sz w:val="28"/>
          <w:szCs w:val="28"/>
        </w:rPr>
      </w:pPr>
    </w:p>
    <w:p w:rsidR="00E6568B" w:rsidRPr="001C2B16" w:rsidRDefault="00E6568B" w:rsidP="001C2B16">
      <w:pPr>
        <w:ind w:firstLine="70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   </w:t>
      </w:r>
    </w:p>
    <w:p w:rsidR="00E6568B" w:rsidRPr="001C2B16" w:rsidRDefault="00E6568B" w:rsidP="001C2B16">
      <w:pPr>
        <w:ind w:firstLine="708"/>
        <w:jc w:val="both"/>
        <w:rPr>
          <w:rFonts w:ascii="Times New Roman" w:cs="Times New Roman"/>
          <w:sz w:val="28"/>
          <w:szCs w:val="28"/>
        </w:rPr>
      </w:pPr>
      <w:r w:rsidRPr="001C2B16">
        <w:rPr>
          <w:rFonts w:ascii="Times New Roman" w:cs="Times New Roman"/>
          <w:sz w:val="28"/>
          <w:szCs w:val="28"/>
        </w:rPr>
        <w:t>Міський голова</w:t>
      </w:r>
      <w:r w:rsidRPr="001C2B16">
        <w:rPr>
          <w:rFonts w:ascii="Times New Roman" w:cs="Times New Roman"/>
          <w:sz w:val="28"/>
          <w:szCs w:val="28"/>
        </w:rPr>
        <w:tab/>
      </w:r>
      <w:r w:rsidRPr="001C2B16"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 xml:space="preserve">                                              </w:t>
      </w:r>
      <w:r w:rsidRPr="001C2B16">
        <w:rPr>
          <w:rFonts w:ascii="Times New Roman" w:cs="Times New Roman"/>
          <w:sz w:val="28"/>
          <w:szCs w:val="28"/>
        </w:rPr>
        <w:tab/>
      </w:r>
      <w:r w:rsidRPr="001C2B16">
        <w:rPr>
          <w:rFonts w:ascii="Times New Roman" w:cs="Times New Roman"/>
          <w:sz w:val="28"/>
          <w:szCs w:val="28"/>
        </w:rPr>
        <w:tab/>
      </w:r>
      <w:r w:rsidRPr="001C2B16">
        <w:rPr>
          <w:rFonts w:ascii="Times New Roman" w:cs="Times New Roman"/>
          <w:sz w:val="28"/>
          <w:szCs w:val="28"/>
        </w:rPr>
        <w:tab/>
        <w:t>І.І.Ковач</w:t>
      </w:r>
    </w:p>
    <w:p w:rsidR="00E6568B" w:rsidRPr="001C2B16" w:rsidRDefault="00E6568B" w:rsidP="001C2B16">
      <w:pPr>
        <w:ind w:firstLine="708"/>
        <w:jc w:val="both"/>
        <w:rPr>
          <w:rFonts w:ascii="Times New Roman" w:cs="Times New Roman"/>
          <w:sz w:val="28"/>
          <w:szCs w:val="28"/>
        </w:rPr>
      </w:pPr>
    </w:p>
    <w:p w:rsidR="00E6568B" w:rsidRPr="001C2B16" w:rsidRDefault="00E6568B" w:rsidP="001C2B16">
      <w:pPr>
        <w:ind w:firstLine="708"/>
        <w:jc w:val="both"/>
        <w:rPr>
          <w:rFonts w:ascii="Times New Roman" w:cs="Times New Roman"/>
          <w:sz w:val="28"/>
          <w:szCs w:val="28"/>
        </w:rPr>
      </w:pPr>
    </w:p>
    <w:p w:rsidR="00E6568B" w:rsidRPr="001C2B16" w:rsidRDefault="00E6568B" w:rsidP="001C2B16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E6568B" w:rsidRPr="00C43147" w:rsidRDefault="00E6568B" w:rsidP="001C2B16">
      <w:pPr>
        <w:framePr w:wrap="notBeside" w:vAnchor="text" w:hAnchor="page" w:x="1315" w:y="179"/>
        <w:jc w:val="center"/>
        <w:rPr>
          <w:rFonts w:ascii="Times New Roman" w:cs="Times New Roman"/>
          <w:color w:val="auto"/>
          <w:sz w:val="28"/>
          <w:szCs w:val="28"/>
          <w:lang w:eastAsia="ru-RU"/>
        </w:rPr>
      </w:pP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                                  Затверджено:  </w:t>
      </w:r>
    </w:p>
    <w:p w:rsidR="00E6568B" w:rsidRPr="00C43147" w:rsidRDefault="00E6568B" w:rsidP="001C2B16">
      <w:pPr>
        <w:framePr w:wrap="notBeside" w:vAnchor="text" w:hAnchor="page" w:x="1315" w:y="179"/>
        <w:jc w:val="center"/>
        <w:rPr>
          <w:rFonts w:ascii="Times New Roman" w:cs="Times New Roman"/>
          <w:color w:val="auto"/>
          <w:sz w:val="28"/>
          <w:szCs w:val="28"/>
          <w:lang w:eastAsia="ru-RU"/>
        </w:rPr>
      </w:pP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рішення двадцятої </w:t>
      </w:r>
    </w:p>
    <w:p w:rsidR="00E6568B" w:rsidRPr="00C43147" w:rsidRDefault="00E6568B" w:rsidP="001C2B16">
      <w:pPr>
        <w:framePr w:wrap="notBeside" w:vAnchor="text" w:hAnchor="page" w:x="1315" w:y="179"/>
        <w:jc w:val="center"/>
        <w:rPr>
          <w:rFonts w:ascii="Times New Roman" w:cs="Times New Roman"/>
          <w:color w:val="auto"/>
          <w:sz w:val="28"/>
          <w:szCs w:val="28"/>
          <w:lang w:eastAsia="ru-RU"/>
        </w:rPr>
      </w:pP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cs="Times New Roman"/>
          <w:color w:val="auto"/>
          <w:sz w:val="28"/>
          <w:szCs w:val="28"/>
          <w:lang w:eastAsia="ru-RU"/>
        </w:rPr>
        <w:t xml:space="preserve">          </w:t>
      </w: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>сесії сьомого скликання</w:t>
      </w:r>
      <w:r w:rsidRPr="00C43147">
        <w:rPr>
          <w:rFonts w:ascii="Times New Roman" w:cs="Times New Roman"/>
          <w:color w:val="auto"/>
          <w:sz w:val="28"/>
          <w:szCs w:val="28"/>
          <w:lang w:val="en-US" w:eastAsia="ru-RU"/>
        </w:rPr>
        <w:t>c</w:t>
      </w: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>кликання</w:t>
      </w:r>
    </w:p>
    <w:p w:rsidR="00E6568B" w:rsidRPr="00C43147" w:rsidRDefault="00E6568B" w:rsidP="001C2B16">
      <w:pPr>
        <w:framePr w:wrap="notBeside" w:vAnchor="text" w:hAnchor="page" w:x="1315" w:y="179"/>
        <w:jc w:val="center"/>
        <w:rPr>
          <w:rFonts w:ascii="Times New Roman" w:cs="Times New Roman"/>
          <w:color w:val="auto"/>
          <w:sz w:val="28"/>
          <w:szCs w:val="28"/>
          <w:lang w:eastAsia="ru-RU"/>
        </w:rPr>
      </w:pP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        Тячівської міської ради</w:t>
      </w:r>
    </w:p>
    <w:p w:rsidR="00E6568B" w:rsidRPr="00C43147" w:rsidRDefault="00E6568B" w:rsidP="001C2B16">
      <w:pPr>
        <w:framePr w:wrap="notBeside" w:vAnchor="text" w:hAnchor="page" w:x="1315" w:y="179"/>
        <w:tabs>
          <w:tab w:val="left" w:pos="6480"/>
        </w:tabs>
        <w:jc w:val="center"/>
        <w:rPr>
          <w:rFonts w:ascii="Times New Roman" w:cs="Times New Roman"/>
          <w:color w:val="auto"/>
          <w:sz w:val="28"/>
          <w:szCs w:val="28"/>
          <w:lang w:eastAsia="ru-RU"/>
        </w:rPr>
      </w:pP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                       від 15 грудня 201</w:t>
      </w:r>
      <w:r w:rsidRPr="00C43147">
        <w:rPr>
          <w:rFonts w:ascii="Times New Roman" w:cs="Times New Roman"/>
          <w:color w:val="auto"/>
          <w:sz w:val="28"/>
          <w:szCs w:val="28"/>
          <w:lang w:val="ru-RU" w:eastAsia="ru-RU"/>
        </w:rPr>
        <w:t>7</w:t>
      </w:r>
      <w:r w:rsidRPr="00C43147">
        <w:rPr>
          <w:rFonts w:ascii="Times New Roman" w:cs="Times New Roman"/>
          <w:color w:val="auto"/>
          <w:sz w:val="28"/>
          <w:szCs w:val="28"/>
          <w:lang w:eastAsia="ru-RU"/>
        </w:rPr>
        <w:t xml:space="preserve"> року № 2073</w:t>
      </w:r>
    </w:p>
    <w:p w:rsidR="00E6568B" w:rsidRDefault="00E6568B" w:rsidP="001C2B16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E6568B" w:rsidRPr="0028086A" w:rsidRDefault="00E6568B" w:rsidP="001C2B16">
      <w:pPr>
        <w:pStyle w:val="70"/>
        <w:shd w:val="clear" w:color="auto" w:fill="auto"/>
        <w:tabs>
          <w:tab w:val="left" w:pos="815"/>
        </w:tabs>
        <w:spacing w:before="0" w:line="240" w:lineRule="auto"/>
        <w:jc w:val="center"/>
        <w:rPr>
          <w:rStyle w:val="38pt"/>
          <w:rFonts w:ascii="Times New Roman" w:hAnsi="Times New Roman"/>
          <w:sz w:val="27"/>
          <w:szCs w:val="27"/>
          <w:lang w:eastAsia="uk-UA"/>
        </w:rPr>
      </w:pPr>
      <w:r w:rsidRPr="0028086A">
        <w:rPr>
          <w:rStyle w:val="38pt"/>
          <w:rFonts w:ascii="Times New Roman" w:hAnsi="Times New Roman"/>
          <w:sz w:val="27"/>
          <w:szCs w:val="27"/>
          <w:lang w:eastAsia="uk-UA"/>
        </w:rPr>
        <w:t>Програма</w:t>
      </w:r>
    </w:p>
    <w:p w:rsidR="00E6568B" w:rsidRPr="0028086A" w:rsidRDefault="00E6568B" w:rsidP="001C2B16">
      <w:pPr>
        <w:pStyle w:val="30"/>
        <w:shd w:val="clear" w:color="auto" w:fill="auto"/>
        <w:spacing w:before="0" w:line="240" w:lineRule="auto"/>
        <w:jc w:val="center"/>
        <w:rPr>
          <w:rStyle w:val="38pt"/>
          <w:rFonts w:ascii="Times New Roman" w:hAnsi="Times New Roman"/>
          <w:sz w:val="27"/>
          <w:szCs w:val="27"/>
          <w:lang w:eastAsia="uk-UA"/>
        </w:rPr>
      </w:pPr>
      <w:r w:rsidRPr="0028086A">
        <w:rPr>
          <w:rStyle w:val="38pt"/>
          <w:rFonts w:ascii="Times New Roman" w:hAnsi="Times New Roman"/>
          <w:sz w:val="27"/>
          <w:szCs w:val="27"/>
          <w:lang w:eastAsia="uk-UA"/>
        </w:rPr>
        <w:t xml:space="preserve">утримання та розвитку інфраструктури спортивних споруд </w:t>
      </w:r>
    </w:p>
    <w:p w:rsidR="00E6568B" w:rsidRPr="0028086A" w:rsidRDefault="00E6568B" w:rsidP="001C2B16">
      <w:pPr>
        <w:pStyle w:val="30"/>
        <w:shd w:val="clear" w:color="auto" w:fill="auto"/>
        <w:spacing w:before="0" w:line="240" w:lineRule="auto"/>
        <w:jc w:val="center"/>
        <w:rPr>
          <w:rStyle w:val="38pt"/>
          <w:rFonts w:ascii="Times New Roman" w:hAnsi="Times New Roman"/>
          <w:sz w:val="27"/>
          <w:szCs w:val="27"/>
          <w:lang w:eastAsia="uk-UA"/>
        </w:rPr>
      </w:pPr>
      <w:r w:rsidRPr="0028086A">
        <w:rPr>
          <w:rStyle w:val="38pt"/>
          <w:rFonts w:ascii="Times New Roman" w:hAnsi="Times New Roman"/>
          <w:sz w:val="27"/>
          <w:szCs w:val="27"/>
          <w:lang w:eastAsia="uk-UA"/>
        </w:rPr>
        <w:t>Тячівського міського комунального закладу «Спортивні арени»на 2018- 2020 роки</w:t>
      </w:r>
    </w:p>
    <w:p w:rsidR="00E6568B" w:rsidRPr="0028086A" w:rsidRDefault="00E6568B" w:rsidP="001C2B16">
      <w:pPr>
        <w:pStyle w:val="30"/>
        <w:shd w:val="clear" w:color="auto" w:fill="auto"/>
        <w:spacing w:before="0" w:line="240" w:lineRule="auto"/>
        <w:jc w:val="center"/>
        <w:rPr>
          <w:rStyle w:val="38pt"/>
          <w:rFonts w:ascii="Times New Roman" w:hAnsi="Times New Roman"/>
          <w:sz w:val="27"/>
          <w:szCs w:val="27"/>
          <w:lang w:eastAsia="uk-UA"/>
        </w:rPr>
      </w:pPr>
    </w:p>
    <w:p w:rsidR="00E6568B" w:rsidRPr="0028086A" w:rsidRDefault="00E6568B" w:rsidP="001C2B16">
      <w:pPr>
        <w:pStyle w:val="30"/>
        <w:shd w:val="clear" w:color="auto" w:fill="auto"/>
        <w:spacing w:before="0" w:line="240" w:lineRule="auto"/>
        <w:jc w:val="center"/>
        <w:rPr>
          <w:rStyle w:val="38pt"/>
          <w:rFonts w:ascii="Times New Roman" w:hAnsi="Times New Roman"/>
          <w:sz w:val="27"/>
          <w:szCs w:val="27"/>
          <w:lang w:eastAsia="uk-UA"/>
        </w:rPr>
      </w:pPr>
      <w:r w:rsidRPr="0028086A">
        <w:rPr>
          <w:rStyle w:val="38pt"/>
          <w:rFonts w:ascii="Times New Roman" w:hAnsi="Times New Roman"/>
          <w:sz w:val="27"/>
          <w:szCs w:val="27"/>
          <w:lang w:eastAsia="uk-UA"/>
        </w:rPr>
        <w:t>І. Загальні положення.</w:t>
      </w:r>
    </w:p>
    <w:p w:rsidR="00E6568B" w:rsidRPr="0028086A" w:rsidRDefault="00E6568B" w:rsidP="001C2B16">
      <w:pPr>
        <w:pStyle w:val="30"/>
        <w:shd w:val="clear" w:color="auto" w:fill="auto"/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Style w:val="38pt"/>
          <w:rFonts w:ascii="Times New Roman" w:hAnsi="Times New Roman"/>
          <w:b w:val="0"/>
          <w:sz w:val="27"/>
          <w:szCs w:val="27"/>
          <w:lang w:eastAsia="uk-UA"/>
        </w:rPr>
        <w:tab/>
        <w:t xml:space="preserve">Програма утримання та розвитку інфраструктури спортивних споруд Тячівського міського комунального закладу «Спортивні арени»на 2018 – 2020 роки (далі – Програма) розроблена відповідно до Законів України «Про фізичну культуру і спорт», «Про місцеве самоврядування в Україні». Програма передбачає здійснення </w:t>
      </w:r>
      <w:r w:rsidRPr="0028086A">
        <w:rPr>
          <w:rFonts w:ascii="Times New Roman" w:hAnsi="Times New Roman"/>
          <w:sz w:val="27"/>
          <w:szCs w:val="27"/>
        </w:rPr>
        <w:t>системи організаційних заходів, що передбачають проведення різноманітних спортивних заходів серед учнівської молоді, юнаків та дорослого населення, залучення населення до занять фізичною культурою і спортом у населених пунктах об’єднаної громади.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720"/>
        <w:rPr>
          <w:rFonts w:ascii="Times New Roman" w:hAnsi="Times New Roman"/>
          <w:b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Необхідно приділити особливу увагу покращенню інфраструктури та зміцненню матеріально-технічної бази спортивних споруд, які перебувають в оперативному управлінні </w:t>
      </w:r>
      <w:r w:rsidRPr="0028086A">
        <w:rPr>
          <w:rStyle w:val="38pt"/>
          <w:rFonts w:ascii="Times New Roman" w:hAnsi="Times New Roman"/>
          <w:b w:val="0"/>
          <w:sz w:val="27"/>
          <w:szCs w:val="27"/>
          <w:lang w:eastAsia="uk-UA"/>
        </w:rPr>
        <w:t>Тячівського міського комунального закладу</w:t>
      </w:r>
      <w:r w:rsidRPr="0028086A">
        <w:rPr>
          <w:rFonts w:ascii="Times New Roman" w:hAnsi="Times New Roman"/>
          <w:b/>
          <w:sz w:val="27"/>
          <w:szCs w:val="27"/>
          <w:lang w:eastAsia="uk-UA"/>
        </w:rPr>
        <w:t xml:space="preserve"> «Спортивні арени». </w:t>
      </w:r>
    </w:p>
    <w:p w:rsidR="00E6568B" w:rsidRPr="0028086A" w:rsidRDefault="00E6568B" w:rsidP="001C2B16">
      <w:pPr>
        <w:pStyle w:val="30"/>
        <w:shd w:val="clear" w:color="auto" w:fill="auto"/>
        <w:spacing w:before="0" w:line="240" w:lineRule="auto"/>
        <w:ind w:firstLine="720"/>
        <w:rPr>
          <w:rStyle w:val="38pt1"/>
          <w:rFonts w:ascii="Times New Roman" w:hAnsi="Times New Roman"/>
          <w:sz w:val="27"/>
          <w:szCs w:val="27"/>
          <w:lang w:eastAsia="uk-UA"/>
        </w:rPr>
      </w:pPr>
      <w:r w:rsidRPr="0028086A">
        <w:rPr>
          <w:rStyle w:val="38pt"/>
          <w:rFonts w:ascii="Times New Roman" w:hAnsi="Times New Roman"/>
          <w:sz w:val="27"/>
          <w:szCs w:val="27"/>
          <w:lang w:eastAsia="uk-UA"/>
        </w:rPr>
        <w:t>Зокрема, за станом на 15 грудня 2017 року</w:t>
      </w:r>
      <w:r w:rsidRPr="0028086A">
        <w:rPr>
          <w:rStyle w:val="38pt1"/>
          <w:rFonts w:ascii="Times New Roman" w:hAnsi="Times New Roman"/>
          <w:sz w:val="27"/>
          <w:szCs w:val="27"/>
          <w:lang w:eastAsia="uk-UA"/>
        </w:rPr>
        <w:t xml:space="preserve"> в місті Тячів та селах громади функціонують: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сучасна спортивна арена «Тячів» 300 глядацьких місць в м.Тячів по вул. Вайди,15;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649"/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міський стадіон ім.Л.Бийреша із запасним та основним полями, з біговими доріжками навколо нього в м. Тячів по вул.Армійська (колишня Червоноармійська), 116, сільські стадіони населених пунктів Тячівської міської об’єднаної територіальної громади (ОТГ);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відкриті футбольні майданчики зі штучним покриттям на території загальноосвітніх та середніх шкіл об’єднаної громади;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футбольний майданчик з асфальтовим покриттям в м.Тячів по вул. Гагаріна Тячівської ЗОШ №3 ім.Ш.Голлоші;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зали греко-римської боротьби в м.Тячів по вул.Незалежності,13 з тренажерними кімнатами;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спортивні криті зали загальноосвітніх шкіл об’єднаної громади;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інші спортивні майданчики.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</w:rPr>
      </w:pPr>
    </w:p>
    <w:p w:rsidR="00E6568B" w:rsidRPr="0028086A" w:rsidRDefault="00E6568B" w:rsidP="001C2B16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7"/>
          <w:szCs w:val="27"/>
        </w:rPr>
      </w:pPr>
      <w:bookmarkStart w:id="1" w:name="bookmark16"/>
      <w:r w:rsidRPr="0028086A">
        <w:rPr>
          <w:rFonts w:ascii="Times New Roman" w:hAnsi="Times New Roman"/>
          <w:sz w:val="27"/>
          <w:szCs w:val="27"/>
          <w:lang w:eastAsia="uk-UA"/>
        </w:rPr>
        <w:t>2. Мета Програми</w:t>
      </w:r>
      <w:bookmarkEnd w:id="1"/>
      <w:r w:rsidRPr="0028086A">
        <w:rPr>
          <w:rFonts w:ascii="Times New Roman" w:hAnsi="Times New Roman"/>
          <w:sz w:val="27"/>
          <w:szCs w:val="27"/>
          <w:lang w:eastAsia="uk-UA"/>
        </w:rPr>
        <w:t>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720"/>
        <w:rPr>
          <w:rFonts w:ascii="Times New Roman" w:hAnsi="Times New Roman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>Метою Програми є визначення та забезпечення реалізації першочергових та перспективних заходів для задоволення потреб кожного члена об’єднаної територіальної громади міста у зміцненні здоров'я, фізичному та духовному розвитку, розвитку спорту вищих досягнень.</w:t>
      </w:r>
    </w:p>
    <w:p w:rsidR="00E6568B" w:rsidRPr="0028086A" w:rsidRDefault="00E6568B" w:rsidP="001C2B16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7"/>
          <w:szCs w:val="27"/>
          <w:lang w:eastAsia="uk-UA"/>
        </w:rPr>
      </w:pPr>
      <w:bookmarkStart w:id="2" w:name="bookmark17"/>
      <w:r w:rsidRPr="0028086A">
        <w:rPr>
          <w:rFonts w:ascii="Times New Roman" w:hAnsi="Times New Roman"/>
          <w:sz w:val="27"/>
          <w:szCs w:val="27"/>
          <w:lang w:eastAsia="uk-UA"/>
        </w:rPr>
        <w:t>3. Основні завдання Програми</w:t>
      </w:r>
      <w:bookmarkEnd w:id="2"/>
      <w:r w:rsidRPr="0028086A">
        <w:rPr>
          <w:rFonts w:ascii="Times New Roman" w:hAnsi="Times New Roman"/>
          <w:sz w:val="27"/>
          <w:szCs w:val="27"/>
          <w:lang w:eastAsia="uk-UA"/>
        </w:rPr>
        <w:t>.</w:t>
      </w:r>
    </w:p>
    <w:p w:rsidR="00E6568B" w:rsidRPr="0028086A" w:rsidRDefault="00E6568B" w:rsidP="001C2B16">
      <w:pPr>
        <w:pStyle w:val="51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ab/>
      </w:r>
      <w:r w:rsidRPr="0028086A">
        <w:rPr>
          <w:rFonts w:ascii="Times New Roman" w:hAnsi="Times New Roman"/>
          <w:b w:val="0"/>
          <w:sz w:val="27"/>
          <w:szCs w:val="27"/>
          <w:lang w:eastAsia="uk-UA"/>
        </w:rPr>
        <w:t>Основними завданнями Програми є: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42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1. Проведення паспортизації діючих спортивних споруд для визначення їх технічного стану з метою проведення фізкультурно-оздоровчої та спортивної роботи.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42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2. Підготовка узгоджених пропозицій щодо порядку фінансування Тячівського МКЗ «Спортивні арени» для утримання спортивних споруд населених пунктів громади.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720"/>
        </w:tabs>
        <w:spacing w:before="0" w:line="240" w:lineRule="auto"/>
        <w:ind w:firstLine="42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3. Здійснення заходів щодо розширення переліку та збільшення обсягів надання платних послуг Тячівського МКЗ «Спортивні арени» за рахунок платної експлуатації спортивних споруд.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52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</w:rPr>
        <w:t xml:space="preserve">   4. </w:t>
      </w:r>
      <w:r w:rsidRPr="0028086A">
        <w:rPr>
          <w:rFonts w:ascii="Times New Roman" w:hAnsi="Times New Roman"/>
          <w:sz w:val="27"/>
          <w:szCs w:val="27"/>
          <w:lang w:eastAsia="uk-UA"/>
        </w:rPr>
        <w:t>Забезпечення фінансування з міського бюджету видатків на утримання спортивних споруд, що перебувають у власності територіальної громади.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520"/>
        <w:rPr>
          <w:rFonts w:ascii="Times New Roman" w:hAnsi="Times New Roman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</w:rPr>
        <w:t xml:space="preserve">   5. </w:t>
      </w:r>
      <w:r w:rsidRPr="0028086A">
        <w:rPr>
          <w:rFonts w:ascii="Times New Roman" w:hAnsi="Times New Roman"/>
          <w:sz w:val="27"/>
          <w:szCs w:val="27"/>
          <w:lang w:eastAsia="uk-UA"/>
        </w:rPr>
        <w:t>Залучення спонсорських коштів та інвестицій у розвиток матеріально-технічної бази, інфраструктури та фізичної культури і спорту в цілому.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520"/>
        <w:rPr>
          <w:rFonts w:ascii="Times New Roman" w:hAnsi="Times New Roman"/>
          <w:sz w:val="27"/>
          <w:szCs w:val="27"/>
        </w:rPr>
      </w:pPr>
    </w:p>
    <w:p w:rsidR="00E6568B" w:rsidRPr="0028086A" w:rsidRDefault="00E6568B" w:rsidP="001C2B16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7"/>
          <w:szCs w:val="27"/>
          <w:lang w:eastAsia="uk-UA"/>
        </w:rPr>
      </w:pPr>
      <w:bookmarkStart w:id="3" w:name="bookmark18"/>
      <w:r w:rsidRPr="0028086A">
        <w:rPr>
          <w:rFonts w:ascii="Times New Roman" w:hAnsi="Times New Roman"/>
          <w:sz w:val="27"/>
          <w:szCs w:val="27"/>
        </w:rPr>
        <w:t xml:space="preserve">4. </w:t>
      </w:r>
      <w:r w:rsidRPr="0028086A">
        <w:rPr>
          <w:rFonts w:ascii="Times New Roman" w:hAnsi="Times New Roman"/>
          <w:sz w:val="27"/>
          <w:szCs w:val="27"/>
          <w:lang w:eastAsia="uk-UA"/>
        </w:rPr>
        <w:t>Фінансування Програми.</w:t>
      </w:r>
    </w:p>
    <w:p w:rsidR="00E6568B" w:rsidRPr="0028086A" w:rsidRDefault="00E6568B" w:rsidP="001C2B16">
      <w:pPr>
        <w:pStyle w:val="51"/>
        <w:keepNext/>
        <w:keepLines/>
        <w:shd w:val="clear" w:color="auto" w:fill="auto"/>
        <w:tabs>
          <w:tab w:val="left" w:pos="720"/>
        </w:tabs>
        <w:spacing w:before="0" w:after="0" w:line="240" w:lineRule="auto"/>
        <w:jc w:val="left"/>
        <w:rPr>
          <w:rFonts w:ascii="Times New Roman" w:hAnsi="Times New Roman"/>
          <w:b w:val="0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ab/>
      </w:r>
      <w:r w:rsidRPr="0028086A">
        <w:rPr>
          <w:rFonts w:ascii="Times New Roman" w:hAnsi="Times New Roman"/>
          <w:b w:val="0"/>
          <w:sz w:val="27"/>
          <w:szCs w:val="27"/>
          <w:lang w:eastAsia="uk-UA"/>
        </w:rPr>
        <w:t>Фінансування заходів Програми проводиться за рахунок коштів місцевого бюджету для:</w:t>
      </w:r>
    </w:p>
    <w:p w:rsidR="00E6568B" w:rsidRPr="0028086A" w:rsidRDefault="00E6568B" w:rsidP="001C2B16">
      <w:pPr>
        <w:pStyle w:val="51"/>
        <w:keepNext/>
        <w:keepLines/>
        <w:shd w:val="clear" w:color="auto" w:fill="auto"/>
        <w:tabs>
          <w:tab w:val="left" w:pos="720"/>
        </w:tabs>
        <w:spacing w:before="0" w:after="0" w:line="240" w:lineRule="auto"/>
        <w:rPr>
          <w:rFonts w:ascii="Times New Roman" w:hAnsi="Times New Roman"/>
          <w:b w:val="0"/>
          <w:sz w:val="27"/>
          <w:szCs w:val="27"/>
        </w:rPr>
      </w:pPr>
      <w:r w:rsidRPr="0028086A">
        <w:rPr>
          <w:rFonts w:ascii="Times New Roman" w:hAnsi="Times New Roman"/>
          <w:b w:val="0"/>
          <w:sz w:val="27"/>
          <w:szCs w:val="27"/>
        </w:rPr>
        <w:t xml:space="preserve">           1. </w:t>
      </w:r>
      <w:r w:rsidRPr="0028086A">
        <w:rPr>
          <w:rFonts w:ascii="Times New Roman" w:hAnsi="Times New Roman"/>
          <w:b w:val="0"/>
          <w:sz w:val="27"/>
          <w:szCs w:val="27"/>
          <w:lang w:eastAsia="uk-UA"/>
        </w:rPr>
        <w:t>Придбання різних предметів, матеріалів та обладнання</w:t>
      </w:r>
      <w:bookmarkEnd w:id="3"/>
      <w:r w:rsidRPr="0028086A">
        <w:rPr>
          <w:rFonts w:ascii="Times New Roman" w:hAnsi="Times New Roman"/>
          <w:b w:val="0"/>
          <w:sz w:val="27"/>
          <w:szCs w:val="27"/>
          <w:lang w:eastAsia="uk-UA"/>
        </w:rPr>
        <w:t xml:space="preserve"> для потреб спортивних споруд Тячівської міської об’єднаної територіальної громади.</w:t>
      </w:r>
    </w:p>
    <w:p w:rsidR="00E6568B" w:rsidRPr="0028086A" w:rsidRDefault="00E6568B" w:rsidP="001C2B16">
      <w:pPr>
        <w:pStyle w:val="51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b w:val="0"/>
          <w:sz w:val="27"/>
          <w:szCs w:val="27"/>
        </w:rPr>
      </w:pPr>
      <w:bookmarkStart w:id="4" w:name="bookmark19"/>
      <w:r w:rsidRPr="0028086A">
        <w:rPr>
          <w:rFonts w:ascii="Times New Roman" w:hAnsi="Times New Roman"/>
          <w:b w:val="0"/>
          <w:sz w:val="27"/>
          <w:szCs w:val="27"/>
        </w:rPr>
        <w:t xml:space="preserve">           2. </w:t>
      </w:r>
      <w:r w:rsidRPr="0028086A">
        <w:rPr>
          <w:rFonts w:ascii="Times New Roman" w:hAnsi="Times New Roman"/>
          <w:b w:val="0"/>
          <w:sz w:val="27"/>
          <w:szCs w:val="27"/>
          <w:lang w:eastAsia="uk-UA"/>
        </w:rPr>
        <w:t>Закупівля різних послуг для забезпечення утримання та розвитку інфраструктури (матеріально-технічного стану) спортивних споруд</w:t>
      </w:r>
      <w:bookmarkEnd w:id="4"/>
      <w:r w:rsidRPr="0028086A">
        <w:rPr>
          <w:rFonts w:ascii="Times New Roman" w:hAnsi="Times New Roman"/>
          <w:b w:val="0"/>
          <w:sz w:val="27"/>
          <w:szCs w:val="27"/>
          <w:lang w:eastAsia="uk-UA"/>
        </w:rPr>
        <w:t xml:space="preserve"> об’єднаної громади.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540"/>
          <w:tab w:val="left" w:pos="720"/>
        </w:tabs>
        <w:spacing w:before="0" w:line="240" w:lineRule="auto"/>
        <w:rPr>
          <w:rFonts w:ascii="Times New Roman" w:hAnsi="Times New Roman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</w:rPr>
        <w:t xml:space="preserve">           3. </w:t>
      </w:r>
      <w:r w:rsidRPr="0028086A">
        <w:rPr>
          <w:rFonts w:ascii="Times New Roman" w:hAnsi="Times New Roman"/>
          <w:sz w:val="27"/>
          <w:szCs w:val="27"/>
          <w:lang w:eastAsia="uk-UA"/>
        </w:rPr>
        <w:t>Оплата різних інших комунальних та експлуатаційних послуг: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прибирання площ, майданчиків, місць загального користування території спортивних споруд;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-  оплата послуг по утриманню в чистоті трибуни та території спортивних споруд. 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54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</w:rPr>
        <w:t xml:space="preserve">  4. </w:t>
      </w:r>
      <w:r w:rsidRPr="0028086A">
        <w:rPr>
          <w:rFonts w:ascii="Times New Roman" w:hAnsi="Times New Roman"/>
          <w:sz w:val="27"/>
          <w:szCs w:val="27"/>
          <w:lang w:eastAsia="uk-UA"/>
        </w:rPr>
        <w:t xml:space="preserve">Оплата послуг по вивозу побутового сміття з території спортивних споруд. 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195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5. Послуги</w:t>
      </w:r>
      <w:r w:rsidRPr="0028086A">
        <w:rPr>
          <w:rFonts w:ascii="Times New Roman" w:hAnsi="Times New Roman"/>
          <w:sz w:val="27"/>
          <w:szCs w:val="27"/>
          <w:lang w:eastAsia="uk-UA"/>
        </w:rPr>
        <w:tab/>
        <w:t>косіння газонів основного та запасного полів міського стадіону ім.Л.Бийреша, та сільських стадіонів сіл Тячівка, Лази та Руське Поле тощо.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1815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6.Догляд</w:t>
      </w:r>
      <w:r w:rsidRPr="0028086A">
        <w:rPr>
          <w:rFonts w:ascii="Times New Roman" w:hAnsi="Times New Roman"/>
          <w:sz w:val="27"/>
          <w:szCs w:val="27"/>
          <w:lang w:eastAsia="uk-UA"/>
        </w:rPr>
        <w:tab/>
        <w:t>за озелененням та декоративними насадженнями на території спортивних споруд;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1926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7. Технічне </w:t>
      </w:r>
      <w:r w:rsidRPr="0028086A">
        <w:rPr>
          <w:rFonts w:ascii="Times New Roman" w:hAnsi="Times New Roman"/>
          <w:sz w:val="27"/>
          <w:szCs w:val="27"/>
          <w:lang w:eastAsia="uk-UA"/>
        </w:rPr>
        <w:tab/>
        <w:t xml:space="preserve">обслуговування та утримання в належному стані (крім ремонту) системи внутрішніх мереж </w:t>
      </w:r>
      <w:r w:rsidRPr="0028086A">
        <w:rPr>
          <w:rFonts w:ascii="Times New Roman" w:hAnsi="Times New Roman"/>
          <w:sz w:val="27"/>
          <w:szCs w:val="27"/>
        </w:rPr>
        <w:t xml:space="preserve">тепло-, </w:t>
      </w:r>
      <w:r w:rsidRPr="0028086A">
        <w:rPr>
          <w:rFonts w:ascii="Times New Roman" w:hAnsi="Times New Roman"/>
          <w:sz w:val="27"/>
          <w:szCs w:val="27"/>
          <w:lang w:eastAsia="uk-UA"/>
        </w:rPr>
        <w:t>водо-, електро та водовідведення спортивних споруд;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243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8. Консультативні послуги при розробці системи обліку витрат, процедур контролю за виконанням кошторису протягом року.</w:t>
      </w:r>
    </w:p>
    <w:p w:rsidR="00E6568B" w:rsidRPr="0028086A" w:rsidRDefault="00E6568B" w:rsidP="001C2B16">
      <w:pPr>
        <w:pStyle w:val="70"/>
        <w:shd w:val="clear" w:color="auto" w:fill="auto"/>
        <w:tabs>
          <w:tab w:val="left" w:pos="540"/>
          <w:tab w:val="left" w:pos="1950"/>
        </w:tabs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 xml:space="preserve">           9. Послуги</w:t>
      </w:r>
      <w:r w:rsidRPr="0028086A">
        <w:rPr>
          <w:rFonts w:ascii="Times New Roman" w:hAnsi="Times New Roman"/>
          <w:sz w:val="27"/>
          <w:szCs w:val="27"/>
          <w:lang w:eastAsia="uk-UA"/>
        </w:rPr>
        <w:tab/>
        <w:t xml:space="preserve"> створення та розміщення інформаційної продукції (вивісок з логотипами, інформаційних стендів та щитів тощо);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520"/>
        <w:rPr>
          <w:rFonts w:ascii="Times New Roman" w:hAnsi="Times New Roman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</w:rPr>
        <w:t xml:space="preserve">   10. </w:t>
      </w:r>
      <w:r w:rsidRPr="0028086A">
        <w:rPr>
          <w:rFonts w:ascii="Times New Roman" w:hAnsi="Times New Roman"/>
          <w:sz w:val="27"/>
          <w:szCs w:val="27"/>
          <w:lang w:eastAsia="uk-UA"/>
        </w:rPr>
        <w:t>Оплата за використання газопостачаннядля спортивної арени «Тячів» та електропостачання спортивних спорудах (при наявності договорів).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520"/>
        <w:rPr>
          <w:rFonts w:ascii="Times New Roman" w:hAnsi="Times New Roman"/>
          <w:sz w:val="27"/>
          <w:szCs w:val="27"/>
          <w:lang w:eastAsia="uk-UA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ab/>
        <w:t>11. Утримання апарату управління Тячівського МКЗ «Спортивні арени».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ind w:firstLine="520"/>
        <w:rPr>
          <w:rFonts w:ascii="Times New Roman" w:hAnsi="Times New Roman"/>
          <w:sz w:val="27"/>
          <w:szCs w:val="27"/>
          <w:lang w:eastAsia="uk-UA"/>
        </w:rPr>
      </w:pPr>
    </w:p>
    <w:p w:rsidR="00E6568B" w:rsidRPr="0028086A" w:rsidRDefault="00E6568B" w:rsidP="001C2B16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7"/>
          <w:szCs w:val="27"/>
          <w:lang w:eastAsia="uk-UA"/>
        </w:rPr>
      </w:pPr>
      <w:bookmarkStart w:id="5" w:name="bookmark20"/>
      <w:r w:rsidRPr="0028086A">
        <w:rPr>
          <w:rFonts w:ascii="Times New Roman" w:hAnsi="Times New Roman"/>
          <w:sz w:val="27"/>
          <w:szCs w:val="27"/>
          <w:lang w:eastAsia="uk-UA"/>
        </w:rPr>
        <w:t>5.Очікувані результати від виконання заходів Програми</w:t>
      </w:r>
      <w:bookmarkEnd w:id="5"/>
      <w:r w:rsidRPr="0028086A">
        <w:rPr>
          <w:rFonts w:ascii="Times New Roman" w:hAnsi="Times New Roman"/>
          <w:sz w:val="27"/>
          <w:szCs w:val="27"/>
          <w:lang w:eastAsia="uk-UA"/>
        </w:rPr>
        <w:t>.</w:t>
      </w:r>
    </w:p>
    <w:p w:rsidR="00E6568B" w:rsidRPr="0028086A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>Виконання заходів Програми дасть можливість:</w:t>
      </w:r>
    </w:p>
    <w:p w:rsidR="00E6568B" w:rsidRPr="0028086A" w:rsidRDefault="00E6568B" w:rsidP="001C2B16">
      <w:pPr>
        <w:pStyle w:val="70"/>
        <w:numPr>
          <w:ilvl w:val="0"/>
          <w:numId w:val="1"/>
        </w:numPr>
        <w:shd w:val="clear" w:color="auto" w:fill="auto"/>
        <w:tabs>
          <w:tab w:val="left" w:pos="660"/>
        </w:tabs>
        <w:spacing w:before="0" w:line="240" w:lineRule="auto"/>
        <w:ind w:firstLine="52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>підвищити рівень забезпечення населення фізкультурно-спортивними спорудами різного типу,</w:t>
      </w:r>
    </w:p>
    <w:p w:rsidR="00E6568B" w:rsidRPr="0028086A" w:rsidRDefault="00E6568B" w:rsidP="001C2B16">
      <w:pPr>
        <w:pStyle w:val="70"/>
        <w:numPr>
          <w:ilvl w:val="0"/>
          <w:numId w:val="1"/>
        </w:numPr>
        <w:shd w:val="clear" w:color="auto" w:fill="auto"/>
        <w:tabs>
          <w:tab w:val="left" w:pos="650"/>
        </w:tabs>
        <w:spacing w:before="0" w:line="240" w:lineRule="auto"/>
        <w:ind w:firstLine="52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  <w:lang w:eastAsia="uk-UA"/>
        </w:rPr>
        <w:t>створити належні матеріально-технічні та фінансові умови для розвитку пріоритетних видів спорту.</w:t>
      </w:r>
    </w:p>
    <w:p w:rsidR="00E6568B" w:rsidRPr="0028086A" w:rsidRDefault="00E6568B" w:rsidP="001C2B16">
      <w:pPr>
        <w:pStyle w:val="70"/>
        <w:numPr>
          <w:ilvl w:val="0"/>
          <w:numId w:val="1"/>
        </w:numPr>
        <w:shd w:val="clear" w:color="auto" w:fill="auto"/>
        <w:spacing w:before="0" w:line="240" w:lineRule="auto"/>
        <w:ind w:firstLine="520"/>
        <w:rPr>
          <w:rFonts w:ascii="Times New Roman" w:hAnsi="Times New Roman"/>
          <w:sz w:val="27"/>
          <w:szCs w:val="27"/>
        </w:rPr>
      </w:pPr>
      <w:r w:rsidRPr="0028086A">
        <w:rPr>
          <w:rFonts w:ascii="Times New Roman" w:hAnsi="Times New Roman"/>
          <w:sz w:val="27"/>
          <w:szCs w:val="27"/>
        </w:rPr>
        <w:t>створити додаткову кількість робочих місць у сфері фізичної культури і спорту, підвищити престижність відповідних професій та удосконалити систему підготовки і підвищення кваліфікації фахівців.</w:t>
      </w:r>
    </w:p>
    <w:p w:rsidR="00E6568B" w:rsidRPr="001C2B16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E6568B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E6568B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E6568B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E6568B" w:rsidRDefault="00E6568B" w:rsidP="001C2B16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E6568B" w:rsidRPr="001C2B16" w:rsidRDefault="00E6568B">
      <w:pPr>
        <w:rPr>
          <w:rFonts w:ascii="Times New Roman" w:cs="Times New Roman"/>
        </w:rPr>
      </w:pPr>
    </w:p>
    <w:sectPr w:rsidR="00E6568B" w:rsidRPr="001C2B16" w:rsidSect="00A4745A">
      <w:headerReference w:type="even" r:id="rId9"/>
      <w:headerReference w:type="default" r:id="rId10"/>
      <w:pgSz w:w="11905" w:h="16837"/>
      <w:pgMar w:top="540" w:right="565" w:bottom="180" w:left="1134" w:header="284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68B" w:rsidRDefault="00E6568B" w:rsidP="00A4745A">
      <w:r>
        <w:separator/>
      </w:r>
    </w:p>
  </w:endnote>
  <w:endnote w:type="continuationSeparator" w:id="1">
    <w:p w:rsidR="00E6568B" w:rsidRDefault="00E6568B" w:rsidP="00A47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68B" w:rsidRDefault="00E6568B" w:rsidP="00A4745A">
      <w:r>
        <w:separator/>
      </w:r>
    </w:p>
  </w:footnote>
  <w:footnote w:type="continuationSeparator" w:id="1">
    <w:p w:rsidR="00E6568B" w:rsidRDefault="00E6568B" w:rsidP="00A47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68B" w:rsidRDefault="00E6568B" w:rsidP="003B7C2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68B" w:rsidRDefault="00E656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68B" w:rsidRDefault="00E6568B">
    <w:pPr>
      <w:pStyle w:val="Header"/>
      <w:jc w:val="center"/>
    </w:pPr>
    <w:r w:rsidRPr="00A4745A">
      <w:rPr>
        <w:rFonts w:ascii="Times New Roman" w:cs="Times New Roman"/>
        <w:sz w:val="20"/>
        <w:szCs w:val="20"/>
      </w:rPr>
      <w:fldChar w:fldCharType="begin"/>
    </w:r>
    <w:r w:rsidRPr="00A4745A">
      <w:rPr>
        <w:rFonts w:ascii="Times New Roman" w:cs="Times New Roman"/>
        <w:sz w:val="20"/>
        <w:szCs w:val="20"/>
      </w:rPr>
      <w:instrText>PAGE   \* MERGEFORMAT</w:instrText>
    </w:r>
    <w:r w:rsidRPr="00A4745A">
      <w:rPr>
        <w:rFonts w:ascii="Times New Roman" w:cs="Times New Roman"/>
        <w:sz w:val="20"/>
        <w:szCs w:val="20"/>
      </w:rPr>
      <w:fldChar w:fldCharType="separate"/>
    </w:r>
    <w:r w:rsidRPr="00AE69C3">
      <w:rPr>
        <w:rFonts w:ascii="Times New Roman" w:cs="Times New Roman"/>
        <w:noProof/>
        <w:sz w:val="20"/>
        <w:szCs w:val="20"/>
        <w:lang w:val="ru-RU"/>
      </w:rPr>
      <w:t>3</w:t>
    </w:r>
    <w:r w:rsidRPr="00A4745A">
      <w:rPr>
        <w:rFonts w:ascii="Times New Roman" w:cs="Times New Roman"/>
        <w:sz w:val="20"/>
        <w:szCs w:val="20"/>
      </w:rPr>
      <w:fldChar w:fldCharType="end"/>
    </w:r>
  </w:p>
  <w:p w:rsidR="00E6568B" w:rsidRDefault="00E656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A6C118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B34"/>
    <w:rsid w:val="00026C65"/>
    <w:rsid w:val="000A10B4"/>
    <w:rsid w:val="000B1336"/>
    <w:rsid w:val="0017389F"/>
    <w:rsid w:val="00193ABF"/>
    <w:rsid w:val="001C2B16"/>
    <w:rsid w:val="0022281A"/>
    <w:rsid w:val="0028086A"/>
    <w:rsid w:val="003B7C2E"/>
    <w:rsid w:val="003E0B6F"/>
    <w:rsid w:val="00415589"/>
    <w:rsid w:val="00654076"/>
    <w:rsid w:val="00765B34"/>
    <w:rsid w:val="007A7629"/>
    <w:rsid w:val="00A4745A"/>
    <w:rsid w:val="00AE69C3"/>
    <w:rsid w:val="00C2149D"/>
    <w:rsid w:val="00C43147"/>
    <w:rsid w:val="00C81E51"/>
    <w:rsid w:val="00D4686D"/>
    <w:rsid w:val="00E6568B"/>
    <w:rsid w:val="00EF5970"/>
    <w:rsid w:val="00F0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B16"/>
    <w:rPr>
      <w:rFonts w:ascii="Arial Unicode MS" w:eastAsia="Arial Unicode MS" w:hAnsi="Times New Roman" w:cs="Arial Unicode MS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№2_"/>
    <w:basedOn w:val="DefaultParagraphFont"/>
    <w:link w:val="20"/>
    <w:uiPriority w:val="99"/>
    <w:locked/>
    <w:rsid w:val="001C2B16"/>
    <w:rPr>
      <w:rFonts w:cs="Times New Roman"/>
      <w:b/>
      <w:bCs/>
      <w:spacing w:val="20"/>
      <w:sz w:val="27"/>
      <w:szCs w:val="27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1C2B16"/>
    <w:pPr>
      <w:shd w:val="clear" w:color="auto" w:fill="FFFFFF"/>
      <w:spacing w:before="240" w:line="336" w:lineRule="exact"/>
      <w:jc w:val="center"/>
      <w:outlineLvl w:val="1"/>
    </w:pPr>
    <w:rPr>
      <w:rFonts w:ascii="Calibri" w:eastAsia="Calibri" w:hAnsi="Calibri" w:cs="Times New Roman"/>
      <w:b/>
      <w:bCs/>
      <w:color w:val="auto"/>
      <w:spacing w:val="20"/>
      <w:sz w:val="27"/>
      <w:szCs w:val="27"/>
      <w:shd w:val="clear" w:color="auto" w:fill="FFFFFF"/>
      <w:lang w:eastAsia="en-US"/>
    </w:rPr>
  </w:style>
  <w:style w:type="character" w:customStyle="1" w:styleId="11">
    <w:name w:val="Основной текст + 11"/>
    <w:aliases w:val="5 pt1"/>
    <w:basedOn w:val="DefaultParagraphFont"/>
    <w:uiPriority w:val="99"/>
    <w:rsid w:val="001C2B16"/>
    <w:rPr>
      <w:rFonts w:cs="Times New Roman"/>
      <w:sz w:val="23"/>
      <w:szCs w:val="23"/>
      <w:shd w:val="clear" w:color="auto" w:fill="FFFFFF"/>
    </w:rPr>
  </w:style>
  <w:style w:type="character" w:customStyle="1" w:styleId="42">
    <w:name w:val="Заголовок №4 (2)_"/>
    <w:basedOn w:val="DefaultParagraphFont"/>
    <w:link w:val="420"/>
    <w:uiPriority w:val="99"/>
    <w:locked/>
    <w:rsid w:val="001C2B16"/>
    <w:rPr>
      <w:rFonts w:cs="Times New Roman"/>
      <w:b/>
      <w:bCs/>
      <w:shd w:val="clear" w:color="auto" w:fill="FFFFFF"/>
    </w:rPr>
  </w:style>
  <w:style w:type="paragraph" w:customStyle="1" w:styleId="420">
    <w:name w:val="Заголовок №4 (2)"/>
    <w:basedOn w:val="Normal"/>
    <w:link w:val="42"/>
    <w:uiPriority w:val="99"/>
    <w:rsid w:val="001C2B16"/>
    <w:pPr>
      <w:shd w:val="clear" w:color="auto" w:fill="FFFFFF"/>
      <w:spacing w:before="120" w:after="240" w:line="240" w:lineRule="atLeast"/>
      <w:jc w:val="center"/>
      <w:outlineLvl w:val="3"/>
    </w:pPr>
    <w:rPr>
      <w:rFonts w:ascii="Calibri" w:eastAsia="Calibri" w:hAnsi="Calibri" w:cs="Times New Roman"/>
      <w:b/>
      <w:bCs/>
      <w:color w:val="auto"/>
      <w:sz w:val="22"/>
      <w:szCs w:val="22"/>
      <w:shd w:val="clear" w:color="auto" w:fill="FFFFFF"/>
      <w:lang w:eastAsia="en-US"/>
    </w:rPr>
  </w:style>
  <w:style w:type="character" w:customStyle="1" w:styleId="5">
    <w:name w:val="Заголовок №5_"/>
    <w:basedOn w:val="DefaultParagraphFont"/>
    <w:link w:val="51"/>
    <w:uiPriority w:val="99"/>
    <w:locked/>
    <w:rsid w:val="001C2B16"/>
    <w:rPr>
      <w:rFonts w:cs="Times New Roman"/>
      <w:b/>
      <w:bCs/>
      <w:sz w:val="16"/>
      <w:szCs w:val="16"/>
      <w:shd w:val="clear" w:color="auto" w:fill="FFFFFF"/>
    </w:rPr>
  </w:style>
  <w:style w:type="paragraph" w:customStyle="1" w:styleId="51">
    <w:name w:val="Заголовок №51"/>
    <w:basedOn w:val="Normal"/>
    <w:link w:val="5"/>
    <w:uiPriority w:val="99"/>
    <w:rsid w:val="001C2B16"/>
    <w:pPr>
      <w:shd w:val="clear" w:color="auto" w:fill="FFFFFF"/>
      <w:spacing w:before="240" w:after="240" w:line="240" w:lineRule="atLeast"/>
      <w:jc w:val="both"/>
      <w:outlineLvl w:val="4"/>
    </w:pPr>
    <w:rPr>
      <w:rFonts w:ascii="Calibri" w:eastAsia="Calibri" w:hAnsi="Calibri" w:cs="Times New Roman"/>
      <w:b/>
      <w:bCs/>
      <w:color w:val="auto"/>
      <w:sz w:val="16"/>
      <w:szCs w:val="16"/>
      <w:shd w:val="clear" w:color="auto" w:fill="FFFFFF"/>
      <w:lang w:eastAsia="en-US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1C2B16"/>
    <w:rPr>
      <w:rFonts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1C2B16"/>
    <w:pPr>
      <w:shd w:val="clear" w:color="auto" w:fill="FFFFFF"/>
      <w:spacing w:before="240" w:line="226" w:lineRule="exact"/>
      <w:jc w:val="both"/>
    </w:pPr>
    <w:rPr>
      <w:rFonts w:ascii="Calibri" w:eastAsia="Calibri" w:hAnsi="Calibri" w:cs="Times New Roman"/>
      <w:color w:val="auto"/>
      <w:sz w:val="16"/>
      <w:szCs w:val="16"/>
      <w:shd w:val="clear" w:color="auto" w:fill="FFFFFF"/>
      <w:lang w:eastAsia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1C2B16"/>
    <w:rPr>
      <w:rFonts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1C2B16"/>
    <w:pPr>
      <w:shd w:val="clear" w:color="auto" w:fill="FFFFFF"/>
      <w:spacing w:before="240" w:line="226" w:lineRule="exact"/>
      <w:jc w:val="both"/>
    </w:pPr>
    <w:rPr>
      <w:rFonts w:ascii="Calibri" w:eastAsia="Calibri" w:hAnsi="Calibri" w:cs="Times New Roman"/>
      <w:color w:val="auto"/>
      <w:sz w:val="17"/>
      <w:szCs w:val="17"/>
      <w:shd w:val="clear" w:color="auto" w:fill="FFFFFF"/>
      <w:lang w:eastAsia="en-US"/>
    </w:rPr>
  </w:style>
  <w:style w:type="character" w:customStyle="1" w:styleId="38pt">
    <w:name w:val="Основной текст (3) + 8 pt"/>
    <w:aliases w:val="Полужирный1"/>
    <w:basedOn w:val="3"/>
    <w:uiPriority w:val="99"/>
    <w:rsid w:val="001C2B16"/>
    <w:rPr>
      <w:b/>
      <w:bCs/>
      <w:sz w:val="16"/>
      <w:szCs w:val="16"/>
    </w:rPr>
  </w:style>
  <w:style w:type="character" w:customStyle="1" w:styleId="38pt1">
    <w:name w:val="Основной текст (3) + 8 pt1"/>
    <w:basedOn w:val="3"/>
    <w:uiPriority w:val="99"/>
    <w:rsid w:val="001C2B16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1C2B16"/>
    <w:pPr>
      <w:shd w:val="clear" w:color="auto" w:fill="FFFFFF"/>
      <w:spacing w:after="120" w:line="278" w:lineRule="exact"/>
    </w:pPr>
    <w:rPr>
      <w:rFonts w:ascii="Calibri" w:eastAsia="Calibri" w:hAnsi="Calibri" w:cs="Times New Roman"/>
      <w:color w:val="auto"/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C2B16"/>
    <w:rPr>
      <w:rFonts w:ascii="Calibri" w:hAnsi="Calibri" w:cs="Times New Roman"/>
      <w:sz w:val="20"/>
      <w:szCs w:val="20"/>
      <w:shd w:val="clear" w:color="auto" w:fill="FFFFFF"/>
      <w:lang w:val="ru-RU" w:eastAsia="ru-RU"/>
    </w:rPr>
  </w:style>
  <w:style w:type="paragraph" w:styleId="Header">
    <w:name w:val="header"/>
    <w:basedOn w:val="Normal"/>
    <w:link w:val="HeaderChar"/>
    <w:uiPriority w:val="99"/>
    <w:rsid w:val="001C2B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C2B16"/>
    <w:rPr>
      <w:rFonts w:ascii="Arial Unicode MS" w:eastAsia="Arial Unicode MS" w:hAnsi="Times New Roman" w:cs="Arial Unicode MS"/>
      <w:color w:val="000000"/>
      <w:sz w:val="24"/>
      <w:szCs w:val="24"/>
      <w:lang w:eastAsia="uk-UA"/>
    </w:rPr>
  </w:style>
  <w:style w:type="character" w:styleId="PageNumber">
    <w:name w:val="page number"/>
    <w:basedOn w:val="DefaultParagraphFont"/>
    <w:uiPriority w:val="99"/>
    <w:rsid w:val="001C2B1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745A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4745A"/>
    <w:rPr>
      <w:rFonts w:ascii="Arial Unicode MS" w:eastAsia="Arial Unicode MS" w:hAnsi="Times New Roman" w:cs="Arial Unicode MS"/>
      <w:color w:val="000000"/>
      <w:sz w:val="24"/>
      <w:szCs w:val="24"/>
      <w:lang w:eastAsia="uk-UA"/>
    </w:rPr>
  </w:style>
  <w:style w:type="character" w:customStyle="1" w:styleId="4">
    <w:name w:val="Заголовок №4_"/>
    <w:basedOn w:val="DefaultParagraphFont"/>
    <w:link w:val="40"/>
    <w:uiPriority w:val="99"/>
    <w:locked/>
    <w:rsid w:val="00C2149D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40">
    <w:name w:val="Заголовок №4"/>
    <w:basedOn w:val="Normal"/>
    <w:link w:val="4"/>
    <w:uiPriority w:val="99"/>
    <w:rsid w:val="00C2149D"/>
    <w:pPr>
      <w:shd w:val="clear" w:color="auto" w:fill="FFFFFF"/>
      <w:spacing w:before="660" w:line="293" w:lineRule="exact"/>
      <w:outlineLvl w:val="3"/>
    </w:pPr>
    <w:rPr>
      <w:rFonts w:ascii="Calibri" w:eastAsia="Calibri" w:hAnsi="Calibri" w:cs="Times New Roman"/>
      <w:b/>
      <w:bCs/>
      <w:color w:val="auto"/>
      <w:sz w:val="25"/>
      <w:szCs w:val="25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3</Pages>
  <Words>1085</Words>
  <Characters>6185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15</cp:revision>
  <cp:lastPrinted>2017-12-19T13:06:00Z</cp:lastPrinted>
  <dcterms:created xsi:type="dcterms:W3CDTF">2017-12-12T14:11:00Z</dcterms:created>
  <dcterms:modified xsi:type="dcterms:W3CDTF">2017-12-19T13:06:00Z</dcterms:modified>
</cp:coreProperties>
</file>