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5619" w:rsidRDefault="006D5619" w:rsidP="006D5619">
      <w:pPr>
        <w:pStyle w:val="2"/>
        <w:jc w:val="center"/>
        <w:rPr>
          <w:b/>
        </w:rPr>
      </w:pPr>
      <w:r>
        <w:rPr>
          <w:i/>
          <w:sz w:val="28"/>
          <w:szCs w:val="28"/>
        </w:rPr>
        <w:t xml:space="preserve">                                                                                                                                                        </w:t>
      </w:r>
    </w:p>
    <w:p w:rsidR="006D5619" w:rsidRDefault="006D5619" w:rsidP="006D5619">
      <w:pPr>
        <w:pStyle w:val="2"/>
        <w:jc w:val="center"/>
        <w:rPr>
          <w:i/>
        </w:rPr>
      </w:pPr>
      <w:r>
        <w:rPr>
          <w:b/>
        </w:rPr>
        <w:object w:dxaOrig="975" w:dyaOrig="13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5pt;height:65.25pt" o:ole="" fillcolor="window">
            <v:imagedata r:id="rId4" o:title=""/>
          </v:shape>
          <o:OLEObject Type="Embed" ProgID="Word.Picture.8" ShapeID="_x0000_i1025" DrawAspect="Content" ObjectID="_1645598631" r:id="rId5"/>
        </w:object>
      </w:r>
    </w:p>
    <w:p w:rsidR="006D5619" w:rsidRDefault="006D5619" w:rsidP="006D5619">
      <w:pPr>
        <w:pStyle w:val="2"/>
        <w:jc w:val="center"/>
        <w:rPr>
          <w:b/>
          <w:sz w:val="28"/>
          <w:szCs w:val="28"/>
        </w:rPr>
      </w:pPr>
      <w:r>
        <w:rPr>
          <w:b/>
          <w:sz w:val="28"/>
          <w:szCs w:val="28"/>
        </w:rPr>
        <w:t xml:space="preserve"> УКРАЇНА</w:t>
      </w:r>
    </w:p>
    <w:p w:rsidR="006D5619" w:rsidRDefault="006D5619" w:rsidP="006D5619">
      <w:pPr>
        <w:pStyle w:val="2"/>
        <w:jc w:val="center"/>
        <w:rPr>
          <w:b/>
          <w:sz w:val="28"/>
          <w:szCs w:val="28"/>
        </w:rPr>
      </w:pPr>
      <w:r>
        <w:rPr>
          <w:b/>
          <w:sz w:val="28"/>
          <w:szCs w:val="28"/>
        </w:rPr>
        <w:t>Т Я Ч І В С Ь К А  М І С Ь К А   Р А  Д А</w:t>
      </w:r>
    </w:p>
    <w:p w:rsidR="006D5619" w:rsidRDefault="006D5619" w:rsidP="006D5619">
      <w:pPr>
        <w:pStyle w:val="2"/>
        <w:jc w:val="center"/>
        <w:rPr>
          <w:b/>
          <w:sz w:val="28"/>
          <w:szCs w:val="28"/>
        </w:rPr>
      </w:pPr>
      <w:r>
        <w:rPr>
          <w:b/>
          <w:sz w:val="28"/>
          <w:szCs w:val="28"/>
        </w:rPr>
        <w:t>Тридцять шоста сесія сьомого скликання</w:t>
      </w:r>
    </w:p>
    <w:p w:rsidR="006D5619" w:rsidRDefault="006D5619" w:rsidP="006D5619">
      <w:pPr>
        <w:pStyle w:val="2"/>
        <w:jc w:val="center"/>
        <w:rPr>
          <w:b/>
        </w:rPr>
      </w:pPr>
      <w:r>
        <w:rPr>
          <w:b/>
        </w:rPr>
        <w:t xml:space="preserve">Р І Ш Е Н </w:t>
      </w:r>
      <w:proofErr w:type="spellStart"/>
      <w:r>
        <w:rPr>
          <w:b/>
        </w:rPr>
        <w:t>Н</w:t>
      </w:r>
      <w:proofErr w:type="spellEnd"/>
      <w:r>
        <w:rPr>
          <w:b/>
        </w:rPr>
        <w:t xml:space="preserve"> Я</w:t>
      </w:r>
    </w:p>
    <w:p w:rsidR="006D5619" w:rsidRDefault="006D5619" w:rsidP="006D5619">
      <w:pPr>
        <w:rPr>
          <w:lang w:val="uk-UA"/>
        </w:rPr>
      </w:pPr>
    </w:p>
    <w:p w:rsidR="006D5619" w:rsidRDefault="006D5619" w:rsidP="006D5619">
      <w:pPr>
        <w:rPr>
          <w:b/>
          <w:sz w:val="24"/>
          <w:lang w:val="uk-UA"/>
        </w:rPr>
      </w:pPr>
      <w:proofErr w:type="spellStart"/>
      <w:r>
        <w:rPr>
          <w:b/>
          <w:sz w:val="24"/>
        </w:rPr>
        <w:t>від</w:t>
      </w:r>
      <w:proofErr w:type="spellEnd"/>
      <w:r>
        <w:rPr>
          <w:b/>
          <w:sz w:val="24"/>
        </w:rPr>
        <w:t xml:space="preserve"> </w:t>
      </w:r>
      <w:r w:rsidR="0078260A">
        <w:rPr>
          <w:b/>
          <w:sz w:val="24"/>
          <w:lang w:val="uk-UA"/>
        </w:rPr>
        <w:t>27 лютого</w:t>
      </w:r>
      <w:r>
        <w:rPr>
          <w:b/>
          <w:sz w:val="24"/>
          <w:lang w:val="uk-UA"/>
        </w:rPr>
        <w:t xml:space="preserve"> 2020</w:t>
      </w:r>
      <w:r>
        <w:rPr>
          <w:b/>
          <w:sz w:val="24"/>
        </w:rPr>
        <w:t xml:space="preserve"> </w:t>
      </w:r>
      <w:proofErr w:type="gramStart"/>
      <w:r>
        <w:rPr>
          <w:b/>
          <w:sz w:val="24"/>
        </w:rPr>
        <w:t>року  №</w:t>
      </w:r>
      <w:proofErr w:type="gramEnd"/>
      <w:r>
        <w:rPr>
          <w:b/>
          <w:sz w:val="24"/>
          <w:lang w:val="uk-UA"/>
        </w:rPr>
        <w:t xml:space="preserve"> </w:t>
      </w:r>
      <w:r w:rsidR="0078260A">
        <w:rPr>
          <w:b/>
          <w:sz w:val="24"/>
          <w:lang w:val="uk-UA"/>
        </w:rPr>
        <w:t>4584</w:t>
      </w:r>
      <w:bookmarkStart w:id="0" w:name="_GoBack"/>
      <w:bookmarkEnd w:id="0"/>
    </w:p>
    <w:p w:rsidR="006D5619" w:rsidRDefault="006D5619" w:rsidP="006D5619">
      <w:pPr>
        <w:pStyle w:val="a3"/>
        <w:rPr>
          <w:b/>
        </w:rPr>
      </w:pPr>
      <w:r>
        <w:rPr>
          <w:b/>
        </w:rPr>
        <w:t>м. Тячів</w:t>
      </w:r>
    </w:p>
    <w:p w:rsidR="006D5619" w:rsidRDefault="006D5619" w:rsidP="006D5619">
      <w:pPr>
        <w:pStyle w:val="a3"/>
        <w:rPr>
          <w:b/>
        </w:rPr>
      </w:pPr>
    </w:p>
    <w:tbl>
      <w:tblPr>
        <w:tblW w:w="8650" w:type="dxa"/>
        <w:tblInd w:w="108" w:type="dxa"/>
        <w:tblLook w:val="01E0" w:firstRow="1" w:lastRow="1" w:firstColumn="1" w:lastColumn="1" w:noHBand="0" w:noVBand="0"/>
      </w:tblPr>
      <w:tblGrid>
        <w:gridCol w:w="4218"/>
        <w:gridCol w:w="4432"/>
      </w:tblGrid>
      <w:tr w:rsidR="006D5619" w:rsidTr="006D5619">
        <w:tc>
          <w:tcPr>
            <w:tcW w:w="4218" w:type="dxa"/>
            <w:hideMark/>
          </w:tcPr>
          <w:p w:rsidR="006D5619" w:rsidRDefault="006D5619">
            <w:pPr>
              <w:pStyle w:val="a3"/>
              <w:jc w:val="both"/>
              <w:rPr>
                <w:b/>
              </w:rPr>
            </w:pPr>
            <w:r>
              <w:rPr>
                <w:b/>
              </w:rPr>
              <w:t>Про затвердження технічної документації з нормативно грошової оцінки земель населеного пункту с. Руське Поле.</w:t>
            </w:r>
          </w:p>
          <w:p w:rsidR="006D5619" w:rsidRDefault="006D5619">
            <w:pPr>
              <w:pStyle w:val="a3"/>
              <w:jc w:val="both"/>
              <w:rPr>
                <w:b/>
              </w:rPr>
            </w:pPr>
            <w:r>
              <w:rPr>
                <w:b/>
              </w:rPr>
              <w:t xml:space="preserve"> </w:t>
            </w:r>
          </w:p>
        </w:tc>
        <w:tc>
          <w:tcPr>
            <w:tcW w:w="4432" w:type="dxa"/>
          </w:tcPr>
          <w:p w:rsidR="006D5619" w:rsidRDefault="006D5619">
            <w:pPr>
              <w:pStyle w:val="a3"/>
              <w:jc w:val="both"/>
            </w:pPr>
          </w:p>
        </w:tc>
      </w:tr>
    </w:tbl>
    <w:p w:rsidR="006D5619" w:rsidRDefault="006D5619" w:rsidP="006D5619">
      <w:pPr>
        <w:ind w:firstLine="708"/>
        <w:jc w:val="both"/>
        <w:rPr>
          <w:sz w:val="22"/>
          <w:szCs w:val="22"/>
          <w:lang w:val="uk-UA"/>
        </w:rPr>
      </w:pPr>
      <w:r>
        <w:rPr>
          <w:sz w:val="22"/>
          <w:szCs w:val="22"/>
          <w:lang w:val="uk-UA"/>
        </w:rPr>
        <w:t>Розглянувши технічну документацію про нормативну грошову  оцінку земель с. Руське Поле, розроблену ДП «ХУСТ-ЗЕМЛЯ КАРПАТ», з метою забезпечення економічного регулювання земельних відносин, визначення розмірів плати за користування землею, керуючись ст.201 Земельного Кодексу України, статтями 15,18,20 Закону України "Про оцінку земель", п.34 ч.1 ст. 26 Закону України "Про місцеве самоврядування в Україні", Постановою Кабінету Міністрів України № 813 від 16.11.2016р. «Про методику нормативної грошової оцінки земель сільськогосподарського призначення», тридцять шоста сесія сьомого скликання Тячівської міської ради</w:t>
      </w:r>
    </w:p>
    <w:p w:rsidR="006D5619" w:rsidRDefault="006D5619" w:rsidP="006D5619">
      <w:pPr>
        <w:ind w:firstLine="708"/>
        <w:jc w:val="center"/>
        <w:rPr>
          <w:b/>
          <w:sz w:val="22"/>
          <w:szCs w:val="22"/>
          <w:lang w:val="uk-UA"/>
        </w:rPr>
      </w:pPr>
      <w:r>
        <w:rPr>
          <w:b/>
          <w:sz w:val="22"/>
          <w:szCs w:val="22"/>
          <w:lang w:val="uk-UA"/>
        </w:rPr>
        <w:t>в и р і ш и л а :</w:t>
      </w:r>
    </w:p>
    <w:p w:rsidR="006D5619" w:rsidRDefault="006D5619" w:rsidP="006D5619">
      <w:pPr>
        <w:jc w:val="both"/>
        <w:rPr>
          <w:sz w:val="22"/>
          <w:szCs w:val="22"/>
          <w:lang w:val="uk-UA"/>
        </w:rPr>
      </w:pPr>
      <w:r>
        <w:rPr>
          <w:sz w:val="22"/>
          <w:szCs w:val="22"/>
          <w:lang w:val="uk-UA"/>
        </w:rPr>
        <w:t xml:space="preserve">     1. Затвердити технічну документацію про нормативну грошову оцінку земель с. Руське Поле, розроблену ДП «ХУСТ-ЗЕМЛЯ КАРПАТ», згідно додатку (додається).</w:t>
      </w:r>
    </w:p>
    <w:p w:rsidR="006D5619" w:rsidRDefault="006D5619" w:rsidP="006D5619">
      <w:pPr>
        <w:jc w:val="both"/>
        <w:rPr>
          <w:sz w:val="22"/>
          <w:szCs w:val="22"/>
          <w:lang w:val="uk-UA"/>
        </w:rPr>
      </w:pPr>
      <w:r>
        <w:rPr>
          <w:sz w:val="22"/>
          <w:szCs w:val="22"/>
          <w:lang w:val="uk-UA"/>
        </w:rPr>
        <w:t xml:space="preserve">     2. Затвердити базову вартість 1 </w:t>
      </w:r>
      <w:proofErr w:type="spellStart"/>
      <w:r>
        <w:rPr>
          <w:sz w:val="22"/>
          <w:szCs w:val="22"/>
          <w:lang w:val="uk-UA"/>
        </w:rPr>
        <w:t>кв.м</w:t>
      </w:r>
      <w:proofErr w:type="spellEnd"/>
      <w:r>
        <w:rPr>
          <w:sz w:val="22"/>
          <w:szCs w:val="22"/>
          <w:lang w:val="uk-UA"/>
        </w:rPr>
        <w:t xml:space="preserve"> землі, </w:t>
      </w:r>
    </w:p>
    <w:p w:rsidR="006D5619" w:rsidRDefault="006D5619" w:rsidP="006D5619">
      <w:pPr>
        <w:jc w:val="both"/>
        <w:rPr>
          <w:sz w:val="22"/>
          <w:szCs w:val="22"/>
          <w:lang w:val="uk-UA"/>
        </w:rPr>
      </w:pPr>
      <w:r>
        <w:rPr>
          <w:sz w:val="22"/>
          <w:szCs w:val="22"/>
          <w:lang w:val="uk-UA"/>
        </w:rPr>
        <w:t xml:space="preserve">              - І зона – 139,27 грн</w:t>
      </w:r>
    </w:p>
    <w:p w:rsidR="006D5619" w:rsidRDefault="006D5619" w:rsidP="006D5619">
      <w:pPr>
        <w:jc w:val="both"/>
        <w:rPr>
          <w:sz w:val="22"/>
          <w:szCs w:val="22"/>
          <w:lang w:val="uk-UA"/>
        </w:rPr>
      </w:pPr>
      <w:r>
        <w:rPr>
          <w:sz w:val="22"/>
          <w:szCs w:val="22"/>
          <w:lang w:val="uk-UA"/>
        </w:rPr>
        <w:t xml:space="preserve">              - ІІ зона – 124,68 грн</w:t>
      </w:r>
    </w:p>
    <w:p w:rsidR="006D5619" w:rsidRDefault="006D5619" w:rsidP="006D5619">
      <w:pPr>
        <w:jc w:val="both"/>
        <w:rPr>
          <w:sz w:val="22"/>
          <w:szCs w:val="22"/>
          <w:lang w:val="uk-UA"/>
        </w:rPr>
      </w:pPr>
      <w:r>
        <w:rPr>
          <w:sz w:val="22"/>
          <w:szCs w:val="22"/>
          <w:lang w:val="uk-UA"/>
        </w:rPr>
        <w:t xml:space="preserve">     3. Визначення кожного з локальних факторів для окремої земельної ділянки проводити на основі карти впливу локальних факторів оцінки.</w:t>
      </w:r>
    </w:p>
    <w:p w:rsidR="006D5619" w:rsidRDefault="006D5619" w:rsidP="006D5619">
      <w:pPr>
        <w:jc w:val="both"/>
        <w:rPr>
          <w:sz w:val="22"/>
          <w:szCs w:val="22"/>
          <w:lang w:val="uk-UA"/>
        </w:rPr>
      </w:pPr>
      <w:r>
        <w:rPr>
          <w:sz w:val="22"/>
          <w:szCs w:val="22"/>
          <w:lang w:val="uk-UA"/>
        </w:rPr>
        <w:t xml:space="preserve">     4. Ввести в дію дане рішення з 01.03.2020 року.</w:t>
      </w:r>
    </w:p>
    <w:p w:rsidR="006D5619" w:rsidRDefault="006D5619" w:rsidP="006D5619">
      <w:pPr>
        <w:jc w:val="both"/>
        <w:rPr>
          <w:sz w:val="22"/>
          <w:szCs w:val="22"/>
          <w:lang w:val="uk-UA"/>
        </w:rPr>
      </w:pPr>
      <w:r>
        <w:rPr>
          <w:sz w:val="22"/>
          <w:szCs w:val="22"/>
          <w:lang w:val="uk-UA"/>
        </w:rPr>
        <w:t xml:space="preserve">     5. Розгляд спірних питань, пов`язаних зі сплатою орендної плати та земельного податку, здійснювати постійною комісією міської ради з питань планування фінансів, бюджету, соціально – економічного розвитку, промисловості, підприємництва та сфери послуг ( голова комісії </w:t>
      </w:r>
      <w:proofErr w:type="spellStart"/>
      <w:r>
        <w:rPr>
          <w:sz w:val="22"/>
          <w:szCs w:val="22"/>
          <w:lang w:val="uk-UA"/>
        </w:rPr>
        <w:t>Мийсарош</w:t>
      </w:r>
      <w:proofErr w:type="spellEnd"/>
      <w:r>
        <w:rPr>
          <w:sz w:val="22"/>
          <w:szCs w:val="22"/>
          <w:lang w:val="uk-UA"/>
        </w:rPr>
        <w:t xml:space="preserve"> Т.С.).</w:t>
      </w:r>
    </w:p>
    <w:p w:rsidR="006D5619" w:rsidRDefault="006D5619" w:rsidP="006D5619">
      <w:pPr>
        <w:jc w:val="both"/>
        <w:rPr>
          <w:sz w:val="22"/>
          <w:szCs w:val="22"/>
          <w:lang w:val="uk-UA"/>
        </w:rPr>
      </w:pPr>
      <w:r>
        <w:rPr>
          <w:sz w:val="22"/>
          <w:szCs w:val="22"/>
          <w:lang w:val="uk-UA"/>
        </w:rPr>
        <w:t xml:space="preserve">     6. Платникам земельного податку та орендної плати за земельні ділянки державної та комунальної власності (крім громадян) при поданні податкових декларацій до органів Державної податкової інспекції у Тячівському районі застосовувати з 01.03.2020 р. нормативну грошову оцінку земель с. Руське Поле, яка затверджена цим рішенням.</w:t>
      </w:r>
    </w:p>
    <w:p w:rsidR="006D5619" w:rsidRDefault="006D5619" w:rsidP="006D5619">
      <w:pPr>
        <w:jc w:val="both"/>
        <w:rPr>
          <w:sz w:val="22"/>
          <w:szCs w:val="22"/>
          <w:lang w:val="uk-UA"/>
        </w:rPr>
      </w:pPr>
      <w:r>
        <w:rPr>
          <w:sz w:val="22"/>
          <w:szCs w:val="22"/>
          <w:lang w:val="uk-UA"/>
        </w:rPr>
        <w:t xml:space="preserve">     7. Пропонувати Управлінню </w:t>
      </w:r>
      <w:proofErr w:type="spellStart"/>
      <w:r>
        <w:rPr>
          <w:sz w:val="22"/>
          <w:szCs w:val="22"/>
          <w:lang w:val="uk-UA"/>
        </w:rPr>
        <w:t>Держгеокадастру</w:t>
      </w:r>
      <w:proofErr w:type="spellEnd"/>
      <w:r>
        <w:rPr>
          <w:sz w:val="22"/>
          <w:szCs w:val="22"/>
          <w:lang w:val="uk-UA"/>
        </w:rPr>
        <w:t xml:space="preserve"> в Тячівському районі Закарпатської області забезпечити оформлення та видачу витягів з технічної документації про нормативну грошову оцінку з метою правильності земельних ділянок відповідно до цього рішення.</w:t>
      </w:r>
    </w:p>
    <w:p w:rsidR="006D5619" w:rsidRDefault="006D5619" w:rsidP="006D5619">
      <w:pPr>
        <w:jc w:val="both"/>
        <w:rPr>
          <w:sz w:val="22"/>
          <w:szCs w:val="22"/>
          <w:lang w:val="uk-UA"/>
        </w:rPr>
      </w:pPr>
      <w:r>
        <w:rPr>
          <w:sz w:val="22"/>
          <w:szCs w:val="22"/>
          <w:lang w:val="uk-UA"/>
        </w:rPr>
        <w:t xml:space="preserve">     8. Рекомендувати Державній податковій інспекції у Тячівському  районі при отриманні від платників орендної плати інформації про нормативну грошову оцінку окремої земельної ділянки, вимагати від орендарів копії витягів з технічної документації про нормативну грошову оцінку до Тячівської міської ради для визначення розміру орендної плати за землю. </w:t>
      </w:r>
    </w:p>
    <w:p w:rsidR="006D5619" w:rsidRDefault="006D5619" w:rsidP="006D5619">
      <w:pPr>
        <w:jc w:val="both"/>
        <w:rPr>
          <w:sz w:val="22"/>
          <w:szCs w:val="22"/>
          <w:lang w:val="uk-UA"/>
        </w:rPr>
      </w:pPr>
      <w:r>
        <w:rPr>
          <w:sz w:val="22"/>
          <w:szCs w:val="22"/>
          <w:lang w:val="uk-UA"/>
        </w:rPr>
        <w:t xml:space="preserve">     9. Опублікувати дане рішення на офіційному сайті м. Тячів та міській газеті «Тячів».</w:t>
      </w:r>
    </w:p>
    <w:p w:rsidR="006D5619" w:rsidRDefault="006D5619" w:rsidP="006D5619">
      <w:pPr>
        <w:jc w:val="both"/>
        <w:rPr>
          <w:sz w:val="22"/>
          <w:szCs w:val="22"/>
          <w:lang w:val="uk-UA"/>
        </w:rPr>
      </w:pPr>
      <w:r>
        <w:rPr>
          <w:sz w:val="22"/>
          <w:szCs w:val="22"/>
          <w:lang w:val="uk-UA"/>
        </w:rPr>
        <w:t xml:space="preserve">    10. Контроль за виконанням рішення покласти на постійну депутатську комісію з питань земельних відносин та охорони природи  (голова  комісії </w:t>
      </w:r>
      <w:proofErr w:type="spellStart"/>
      <w:r>
        <w:rPr>
          <w:sz w:val="22"/>
          <w:szCs w:val="22"/>
          <w:lang w:val="uk-UA"/>
        </w:rPr>
        <w:t>Герич</w:t>
      </w:r>
      <w:proofErr w:type="spellEnd"/>
      <w:r>
        <w:rPr>
          <w:sz w:val="22"/>
          <w:szCs w:val="22"/>
          <w:lang w:val="uk-UA"/>
        </w:rPr>
        <w:t xml:space="preserve"> П.В.).</w:t>
      </w:r>
    </w:p>
    <w:p w:rsidR="006D5619" w:rsidRDefault="006D5619" w:rsidP="006D5619">
      <w:pPr>
        <w:jc w:val="both"/>
        <w:rPr>
          <w:sz w:val="22"/>
          <w:szCs w:val="22"/>
          <w:lang w:val="uk-UA"/>
        </w:rPr>
      </w:pPr>
    </w:p>
    <w:p w:rsidR="006D5619" w:rsidRDefault="006D5619" w:rsidP="006D5619">
      <w:pPr>
        <w:ind w:right="-5" w:firstLine="180"/>
        <w:jc w:val="both"/>
        <w:rPr>
          <w:sz w:val="22"/>
          <w:szCs w:val="22"/>
          <w:lang w:val="uk-UA"/>
        </w:rPr>
      </w:pPr>
    </w:p>
    <w:p w:rsidR="006D5619" w:rsidRDefault="006D5619" w:rsidP="006D5619">
      <w:pPr>
        <w:ind w:right="-5"/>
        <w:jc w:val="both"/>
        <w:rPr>
          <w:sz w:val="24"/>
          <w:szCs w:val="24"/>
          <w:lang w:val="uk-UA"/>
        </w:rPr>
      </w:pPr>
    </w:p>
    <w:p w:rsidR="007B4C12" w:rsidRDefault="006D5619" w:rsidP="006D5619">
      <w:pPr>
        <w:ind w:right="-5" w:firstLine="180"/>
        <w:jc w:val="center"/>
      </w:pPr>
      <w:r>
        <w:rPr>
          <w:b/>
          <w:sz w:val="24"/>
          <w:szCs w:val="24"/>
          <w:lang w:val="uk-UA"/>
        </w:rPr>
        <w:t xml:space="preserve">Міський голова                                                                              </w:t>
      </w:r>
      <w:proofErr w:type="spellStart"/>
      <w:r>
        <w:rPr>
          <w:b/>
          <w:sz w:val="24"/>
          <w:szCs w:val="24"/>
          <w:lang w:val="uk-UA"/>
        </w:rPr>
        <w:t>І.І.Ковач</w:t>
      </w:r>
      <w:proofErr w:type="spellEnd"/>
      <w:r>
        <w:rPr>
          <w:b/>
          <w:sz w:val="24"/>
          <w:szCs w:val="24"/>
          <w:lang w:val="uk-UA"/>
        </w:rPr>
        <w:t xml:space="preserve"> </w:t>
      </w:r>
    </w:p>
    <w:sectPr w:rsidR="007B4C1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6FD4"/>
    <w:rsid w:val="006D5619"/>
    <w:rsid w:val="0078260A"/>
    <w:rsid w:val="007B4C12"/>
    <w:rsid w:val="00B06FD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D83022"/>
  <w15:chartTrackingRefBased/>
  <w15:docId w15:val="{5670981E-51E1-4484-824E-B8FE5BD11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5619"/>
    <w:pPr>
      <w:spacing w:after="0" w:line="240" w:lineRule="auto"/>
    </w:pPr>
    <w:rPr>
      <w:rFonts w:ascii="Times New Roman" w:eastAsia="Times New Roman" w:hAnsi="Times New Roman" w:cs="Times New Roman"/>
      <w:sz w:val="20"/>
      <w:szCs w:val="20"/>
      <w:lang w:val="ru-RU" w:eastAsia="ru-RU"/>
    </w:rPr>
  </w:style>
  <w:style w:type="paragraph" w:styleId="2">
    <w:name w:val="heading 2"/>
    <w:basedOn w:val="a"/>
    <w:next w:val="a"/>
    <w:link w:val="20"/>
    <w:semiHidden/>
    <w:unhideWhenUsed/>
    <w:qFormat/>
    <w:rsid w:val="006D5619"/>
    <w:pPr>
      <w:keepNext/>
      <w:outlineLvl w:val="1"/>
    </w:pPr>
    <w:rPr>
      <w:sz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D5619"/>
    <w:rPr>
      <w:rFonts w:ascii="Times New Roman" w:eastAsia="Times New Roman" w:hAnsi="Times New Roman" w:cs="Times New Roman"/>
      <w:sz w:val="24"/>
      <w:szCs w:val="20"/>
      <w:lang w:eastAsia="ru-RU"/>
    </w:rPr>
  </w:style>
  <w:style w:type="paragraph" w:styleId="a3">
    <w:name w:val="Body Text"/>
    <w:basedOn w:val="a"/>
    <w:link w:val="a4"/>
    <w:semiHidden/>
    <w:unhideWhenUsed/>
    <w:rsid w:val="006D5619"/>
    <w:pPr>
      <w:suppressAutoHyphens/>
    </w:pPr>
    <w:rPr>
      <w:sz w:val="24"/>
      <w:lang w:val="uk-UA"/>
    </w:rPr>
  </w:style>
  <w:style w:type="character" w:customStyle="1" w:styleId="a4">
    <w:name w:val="Основной текст Знак"/>
    <w:basedOn w:val="a0"/>
    <w:link w:val="a3"/>
    <w:semiHidden/>
    <w:rsid w:val="006D5619"/>
    <w:rPr>
      <w:rFonts w:ascii="Times New Roman" w:eastAsia="Times New Roman" w:hAnsi="Times New Roman" w:cs="Times New Roman"/>
      <w:sz w:val="24"/>
      <w:szCs w:val="20"/>
      <w:lang w:eastAsia="ru-RU"/>
    </w:rPr>
  </w:style>
  <w:style w:type="paragraph" w:styleId="a5">
    <w:name w:val="Balloon Text"/>
    <w:basedOn w:val="a"/>
    <w:link w:val="a6"/>
    <w:uiPriority w:val="99"/>
    <w:semiHidden/>
    <w:unhideWhenUsed/>
    <w:rsid w:val="006D5619"/>
    <w:rPr>
      <w:rFonts w:ascii="Segoe UI" w:hAnsi="Segoe UI" w:cs="Segoe UI"/>
      <w:sz w:val="18"/>
      <w:szCs w:val="18"/>
    </w:rPr>
  </w:style>
  <w:style w:type="character" w:customStyle="1" w:styleId="a6">
    <w:name w:val="Текст выноски Знак"/>
    <w:basedOn w:val="a0"/>
    <w:link w:val="a5"/>
    <w:uiPriority w:val="99"/>
    <w:semiHidden/>
    <w:rsid w:val="006D5619"/>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8082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1994</Words>
  <Characters>1138</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 Windows</dc:creator>
  <cp:keywords/>
  <dc:description/>
  <cp:lastModifiedBy>Користувач Windows</cp:lastModifiedBy>
  <cp:revision>4</cp:revision>
  <cp:lastPrinted>2020-03-13T07:57:00Z</cp:lastPrinted>
  <dcterms:created xsi:type="dcterms:W3CDTF">2020-02-14T08:47:00Z</dcterms:created>
  <dcterms:modified xsi:type="dcterms:W3CDTF">2020-03-13T07:57:00Z</dcterms:modified>
</cp:coreProperties>
</file>