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7C" w:rsidRPr="007D0354" w:rsidRDefault="006E677C" w:rsidP="00200F99">
      <w:pPr>
        <w:ind w:right="-365"/>
        <w:jc w:val="both"/>
        <w:rPr>
          <w:bCs/>
          <w:sz w:val="28"/>
          <w:szCs w:val="28"/>
        </w:rPr>
      </w:pPr>
      <w:r>
        <w:rPr>
          <w:sz w:val="28"/>
          <w:szCs w:val="28"/>
        </w:rPr>
        <w:t xml:space="preserve">                                                                  </w:t>
      </w:r>
      <w:r w:rsidRPr="00193ABF">
        <w:rPr>
          <w:sz w:val="28"/>
          <w:szCs w:val="28"/>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578808944" r:id="rId7"/>
        </w:object>
      </w:r>
    </w:p>
    <w:p w:rsidR="006E677C" w:rsidRPr="00340468" w:rsidRDefault="006E677C" w:rsidP="00200F99">
      <w:pPr>
        <w:pStyle w:val="Heading1"/>
        <w:tabs>
          <w:tab w:val="left" w:pos="6120"/>
        </w:tabs>
        <w:rPr>
          <w:sz w:val="31"/>
          <w:szCs w:val="31"/>
        </w:rPr>
      </w:pPr>
      <w:r w:rsidRPr="00340468">
        <w:rPr>
          <w:sz w:val="31"/>
          <w:szCs w:val="31"/>
        </w:rPr>
        <w:t>У К Р А Ї Н А</w:t>
      </w:r>
    </w:p>
    <w:p w:rsidR="006E677C" w:rsidRPr="00340468" w:rsidRDefault="006E677C" w:rsidP="00200F99">
      <w:pPr>
        <w:jc w:val="center"/>
        <w:rPr>
          <w:b/>
          <w:bCs/>
          <w:sz w:val="31"/>
          <w:szCs w:val="31"/>
        </w:rPr>
      </w:pPr>
      <w:r w:rsidRPr="00340468">
        <w:rPr>
          <w:b/>
          <w:bCs/>
          <w:sz w:val="31"/>
          <w:szCs w:val="31"/>
        </w:rPr>
        <w:t>ТЯЧІВСЬКА  МІСЬКА  РАДА</w:t>
      </w:r>
    </w:p>
    <w:p w:rsidR="006E677C" w:rsidRPr="00340468" w:rsidRDefault="006E677C" w:rsidP="00200F99">
      <w:pPr>
        <w:jc w:val="center"/>
        <w:rPr>
          <w:b/>
          <w:bCs/>
          <w:sz w:val="31"/>
          <w:szCs w:val="31"/>
        </w:rPr>
      </w:pPr>
      <w:r w:rsidRPr="00340468">
        <w:rPr>
          <w:b/>
          <w:bCs/>
          <w:sz w:val="31"/>
          <w:szCs w:val="31"/>
        </w:rPr>
        <w:t>Двадцят</w:t>
      </w:r>
      <w:r>
        <w:rPr>
          <w:b/>
          <w:bCs/>
          <w:sz w:val="31"/>
          <w:szCs w:val="31"/>
        </w:rPr>
        <w:t>ь перша (позачергова)</w:t>
      </w:r>
      <w:r w:rsidRPr="00340468">
        <w:rPr>
          <w:b/>
          <w:bCs/>
          <w:sz w:val="31"/>
          <w:szCs w:val="31"/>
        </w:rPr>
        <w:t xml:space="preserve"> сесія сьомого скликання</w:t>
      </w:r>
    </w:p>
    <w:p w:rsidR="006E677C" w:rsidRPr="00340468" w:rsidRDefault="006E677C" w:rsidP="00200F99">
      <w:pPr>
        <w:pStyle w:val="Heading3"/>
        <w:tabs>
          <w:tab w:val="left" w:pos="1800"/>
        </w:tabs>
        <w:rPr>
          <w:sz w:val="31"/>
          <w:szCs w:val="31"/>
        </w:rPr>
      </w:pPr>
      <w:r w:rsidRPr="00340468">
        <w:rPr>
          <w:sz w:val="31"/>
          <w:szCs w:val="31"/>
        </w:rPr>
        <w:t>Р  І  Ш  Е  Н  Н  Я</w:t>
      </w:r>
    </w:p>
    <w:p w:rsidR="006E677C" w:rsidRPr="007D0354" w:rsidRDefault="006E677C" w:rsidP="00200F99">
      <w:pPr>
        <w:jc w:val="both"/>
        <w:rPr>
          <w:sz w:val="28"/>
          <w:szCs w:val="28"/>
        </w:rPr>
      </w:pPr>
    </w:p>
    <w:p w:rsidR="006E677C" w:rsidRPr="007D0354" w:rsidRDefault="006E677C" w:rsidP="00200F99">
      <w:pPr>
        <w:pStyle w:val="Heading4"/>
        <w:jc w:val="both"/>
        <w:rPr>
          <w:b w:val="0"/>
          <w:szCs w:val="28"/>
        </w:rPr>
      </w:pPr>
      <w:r>
        <w:rPr>
          <w:b w:val="0"/>
          <w:szCs w:val="28"/>
        </w:rPr>
        <w:t>від  24 січня  2018</w:t>
      </w:r>
      <w:r w:rsidRPr="007D0354">
        <w:rPr>
          <w:b w:val="0"/>
          <w:szCs w:val="28"/>
        </w:rPr>
        <w:t xml:space="preserve">  року  № </w:t>
      </w:r>
      <w:r>
        <w:rPr>
          <w:b w:val="0"/>
          <w:szCs w:val="28"/>
        </w:rPr>
        <w:t>2236</w:t>
      </w:r>
    </w:p>
    <w:p w:rsidR="006E677C" w:rsidRPr="007D0354" w:rsidRDefault="006E677C" w:rsidP="00200F99">
      <w:pPr>
        <w:pStyle w:val="Heading4"/>
        <w:jc w:val="both"/>
        <w:rPr>
          <w:b w:val="0"/>
          <w:szCs w:val="28"/>
        </w:rPr>
      </w:pPr>
      <w:r w:rsidRPr="007D0354">
        <w:rPr>
          <w:b w:val="0"/>
          <w:szCs w:val="28"/>
        </w:rPr>
        <w:t>м. Тячів</w:t>
      </w:r>
    </w:p>
    <w:p w:rsidR="006E677C" w:rsidRPr="00714346" w:rsidRDefault="006E677C" w:rsidP="00E80D45">
      <w:pPr>
        <w:rPr>
          <w:b/>
          <w:sz w:val="16"/>
          <w:szCs w:val="16"/>
        </w:rPr>
      </w:pPr>
    </w:p>
    <w:p w:rsidR="006E677C" w:rsidRDefault="006E677C" w:rsidP="00BB7176">
      <w:pPr>
        <w:tabs>
          <w:tab w:val="left" w:pos="5940"/>
        </w:tabs>
        <w:rPr>
          <w:sz w:val="28"/>
          <w:szCs w:val="28"/>
        </w:rPr>
      </w:pPr>
      <w:r w:rsidRPr="00651978">
        <w:rPr>
          <w:sz w:val="28"/>
          <w:szCs w:val="28"/>
        </w:rPr>
        <w:t>Про</w:t>
      </w:r>
      <w:r>
        <w:rPr>
          <w:sz w:val="28"/>
          <w:szCs w:val="28"/>
        </w:rPr>
        <w:t xml:space="preserve">     </w:t>
      </w:r>
      <w:r w:rsidRPr="00651978">
        <w:rPr>
          <w:sz w:val="28"/>
          <w:szCs w:val="28"/>
        </w:rPr>
        <w:t>оприлюднення</w:t>
      </w:r>
      <w:r>
        <w:rPr>
          <w:sz w:val="28"/>
          <w:szCs w:val="28"/>
        </w:rPr>
        <w:t xml:space="preserve">   проекту  </w:t>
      </w:r>
      <w:r w:rsidRPr="00651978">
        <w:rPr>
          <w:sz w:val="28"/>
          <w:szCs w:val="28"/>
        </w:rPr>
        <w:t xml:space="preserve"> </w:t>
      </w:r>
      <w:r>
        <w:rPr>
          <w:sz w:val="28"/>
          <w:szCs w:val="28"/>
        </w:rPr>
        <w:t xml:space="preserve"> </w:t>
      </w:r>
      <w:r w:rsidRPr="00651978">
        <w:rPr>
          <w:sz w:val="28"/>
          <w:szCs w:val="28"/>
        </w:rPr>
        <w:t>рішення</w:t>
      </w:r>
      <w:r>
        <w:rPr>
          <w:sz w:val="28"/>
          <w:szCs w:val="28"/>
        </w:rPr>
        <w:t xml:space="preserve">    </w:t>
      </w:r>
      <w:r w:rsidRPr="00651978">
        <w:rPr>
          <w:sz w:val="28"/>
          <w:szCs w:val="28"/>
        </w:rPr>
        <w:t xml:space="preserve"> щодо </w:t>
      </w:r>
    </w:p>
    <w:p w:rsidR="006E677C" w:rsidRDefault="006E677C" w:rsidP="00200F99">
      <w:pPr>
        <w:tabs>
          <w:tab w:val="left" w:pos="5940"/>
        </w:tabs>
        <w:rPr>
          <w:sz w:val="28"/>
          <w:szCs w:val="28"/>
        </w:rPr>
      </w:pPr>
      <w:r>
        <w:rPr>
          <w:sz w:val="28"/>
          <w:szCs w:val="28"/>
        </w:rPr>
        <w:t>в</w:t>
      </w:r>
      <w:r w:rsidRPr="00651978">
        <w:rPr>
          <w:sz w:val="28"/>
          <w:szCs w:val="28"/>
        </w:rPr>
        <w:t>становлення</w:t>
      </w:r>
      <w:r>
        <w:rPr>
          <w:sz w:val="28"/>
          <w:szCs w:val="28"/>
        </w:rPr>
        <w:t xml:space="preserve">   </w:t>
      </w:r>
      <w:r w:rsidRPr="00651978">
        <w:rPr>
          <w:sz w:val="28"/>
          <w:szCs w:val="28"/>
        </w:rPr>
        <w:t xml:space="preserve"> </w:t>
      </w:r>
      <w:r>
        <w:rPr>
          <w:sz w:val="28"/>
          <w:szCs w:val="28"/>
        </w:rPr>
        <w:t>м</w:t>
      </w:r>
      <w:r w:rsidRPr="00651978">
        <w:rPr>
          <w:sz w:val="28"/>
          <w:szCs w:val="28"/>
        </w:rPr>
        <w:t>інімальної</w:t>
      </w:r>
      <w:r>
        <w:rPr>
          <w:sz w:val="28"/>
          <w:szCs w:val="28"/>
        </w:rPr>
        <w:t xml:space="preserve">    </w:t>
      </w:r>
      <w:r w:rsidRPr="00651978">
        <w:rPr>
          <w:sz w:val="28"/>
          <w:szCs w:val="28"/>
        </w:rPr>
        <w:t xml:space="preserve">вартості </w:t>
      </w:r>
      <w:r>
        <w:rPr>
          <w:sz w:val="28"/>
          <w:szCs w:val="28"/>
        </w:rPr>
        <w:t xml:space="preserve">     </w:t>
      </w:r>
      <w:r w:rsidRPr="00651978">
        <w:rPr>
          <w:sz w:val="28"/>
          <w:szCs w:val="28"/>
        </w:rPr>
        <w:t xml:space="preserve">місячної </w:t>
      </w:r>
      <w:r>
        <w:rPr>
          <w:sz w:val="28"/>
          <w:szCs w:val="28"/>
        </w:rPr>
        <w:t xml:space="preserve">   </w:t>
      </w:r>
    </w:p>
    <w:p w:rsidR="006E677C" w:rsidRDefault="006E677C" w:rsidP="00200F99">
      <w:pPr>
        <w:tabs>
          <w:tab w:val="left" w:pos="5940"/>
        </w:tabs>
        <w:rPr>
          <w:sz w:val="28"/>
          <w:szCs w:val="28"/>
        </w:rPr>
      </w:pPr>
      <w:r>
        <w:rPr>
          <w:sz w:val="28"/>
          <w:szCs w:val="28"/>
        </w:rPr>
        <w:t xml:space="preserve">оренди </w:t>
      </w:r>
      <w:r w:rsidRPr="00651978">
        <w:rPr>
          <w:sz w:val="28"/>
          <w:szCs w:val="28"/>
        </w:rPr>
        <w:t>одного квадратного</w:t>
      </w:r>
      <w:r>
        <w:rPr>
          <w:sz w:val="28"/>
          <w:szCs w:val="28"/>
        </w:rPr>
        <w:t xml:space="preserve"> метра загальної </w:t>
      </w:r>
      <w:r w:rsidRPr="00651978">
        <w:rPr>
          <w:sz w:val="28"/>
          <w:szCs w:val="28"/>
        </w:rPr>
        <w:t xml:space="preserve">площі </w:t>
      </w:r>
    </w:p>
    <w:p w:rsidR="006E677C" w:rsidRDefault="006E677C" w:rsidP="00200F99">
      <w:pPr>
        <w:tabs>
          <w:tab w:val="left" w:pos="5940"/>
        </w:tabs>
        <w:rPr>
          <w:sz w:val="28"/>
          <w:szCs w:val="28"/>
        </w:rPr>
      </w:pPr>
      <w:r w:rsidRPr="00651978">
        <w:rPr>
          <w:sz w:val="28"/>
          <w:szCs w:val="28"/>
        </w:rPr>
        <w:t>нерухомості з урахуванням місця</w:t>
      </w:r>
      <w:r>
        <w:rPr>
          <w:sz w:val="28"/>
          <w:szCs w:val="28"/>
        </w:rPr>
        <w:t xml:space="preserve"> </w:t>
      </w:r>
      <w:r w:rsidRPr="00651978">
        <w:rPr>
          <w:sz w:val="28"/>
          <w:szCs w:val="28"/>
        </w:rPr>
        <w:t>її</w:t>
      </w:r>
      <w:r>
        <w:rPr>
          <w:sz w:val="28"/>
          <w:szCs w:val="28"/>
        </w:rPr>
        <w:t xml:space="preserve"> розташування,   </w:t>
      </w:r>
    </w:p>
    <w:p w:rsidR="006E677C" w:rsidRDefault="006E677C" w:rsidP="00200F99">
      <w:pPr>
        <w:tabs>
          <w:tab w:val="left" w:pos="5940"/>
        </w:tabs>
        <w:rPr>
          <w:sz w:val="28"/>
          <w:szCs w:val="28"/>
        </w:rPr>
      </w:pPr>
      <w:r w:rsidRPr="00651978">
        <w:rPr>
          <w:sz w:val="28"/>
          <w:szCs w:val="28"/>
        </w:rPr>
        <w:t>інших функціональних</w:t>
      </w:r>
      <w:r>
        <w:rPr>
          <w:sz w:val="28"/>
          <w:szCs w:val="28"/>
        </w:rPr>
        <w:t xml:space="preserve"> </w:t>
      </w:r>
      <w:r w:rsidRPr="00651978">
        <w:rPr>
          <w:sz w:val="28"/>
          <w:szCs w:val="28"/>
        </w:rPr>
        <w:t>та</w:t>
      </w:r>
      <w:r>
        <w:rPr>
          <w:sz w:val="28"/>
          <w:szCs w:val="28"/>
        </w:rPr>
        <w:t xml:space="preserve"> </w:t>
      </w:r>
      <w:r w:rsidRPr="00651978">
        <w:rPr>
          <w:sz w:val="28"/>
          <w:szCs w:val="28"/>
        </w:rPr>
        <w:t>якісних показників</w:t>
      </w:r>
      <w:r>
        <w:rPr>
          <w:sz w:val="28"/>
          <w:szCs w:val="28"/>
        </w:rPr>
        <w:t xml:space="preserve">  </w:t>
      </w:r>
      <w:r w:rsidRPr="00651978">
        <w:rPr>
          <w:sz w:val="28"/>
          <w:szCs w:val="28"/>
        </w:rPr>
        <w:t xml:space="preserve">при </w:t>
      </w:r>
    </w:p>
    <w:p w:rsidR="006E677C" w:rsidRPr="00651978" w:rsidRDefault="006E677C" w:rsidP="00200F99">
      <w:pPr>
        <w:tabs>
          <w:tab w:val="left" w:pos="5940"/>
        </w:tabs>
        <w:rPr>
          <w:sz w:val="28"/>
          <w:szCs w:val="28"/>
        </w:rPr>
      </w:pPr>
      <w:r w:rsidRPr="00651978">
        <w:rPr>
          <w:sz w:val="28"/>
          <w:szCs w:val="28"/>
        </w:rPr>
        <w:t>передачі в оренду (суборенду) та</w:t>
      </w:r>
      <w:r>
        <w:rPr>
          <w:sz w:val="28"/>
          <w:szCs w:val="28"/>
        </w:rPr>
        <w:t xml:space="preserve">  житловий  </w:t>
      </w:r>
      <w:r w:rsidRPr="00651978">
        <w:rPr>
          <w:sz w:val="28"/>
          <w:szCs w:val="28"/>
        </w:rPr>
        <w:t>найм</w:t>
      </w:r>
    </w:p>
    <w:p w:rsidR="006E677C" w:rsidRDefault="006E677C" w:rsidP="00200F99">
      <w:pPr>
        <w:tabs>
          <w:tab w:val="left" w:pos="5940"/>
          <w:tab w:val="left" w:pos="6120"/>
        </w:tabs>
        <w:rPr>
          <w:sz w:val="28"/>
          <w:szCs w:val="28"/>
        </w:rPr>
      </w:pPr>
      <w:r w:rsidRPr="00651978">
        <w:rPr>
          <w:sz w:val="28"/>
          <w:szCs w:val="28"/>
        </w:rPr>
        <w:t xml:space="preserve">на </w:t>
      </w:r>
      <w:r>
        <w:rPr>
          <w:sz w:val="28"/>
          <w:szCs w:val="28"/>
        </w:rPr>
        <w:t xml:space="preserve">    </w:t>
      </w:r>
      <w:r w:rsidRPr="00651978">
        <w:rPr>
          <w:sz w:val="28"/>
          <w:szCs w:val="28"/>
        </w:rPr>
        <w:t xml:space="preserve">території </w:t>
      </w:r>
      <w:r>
        <w:rPr>
          <w:sz w:val="28"/>
          <w:szCs w:val="28"/>
        </w:rPr>
        <w:t xml:space="preserve">    населених   пунктів     об’єднаної </w:t>
      </w:r>
    </w:p>
    <w:p w:rsidR="006E677C" w:rsidRPr="00651978" w:rsidRDefault="006E677C" w:rsidP="00E80D45">
      <w:pPr>
        <w:rPr>
          <w:b/>
          <w:sz w:val="28"/>
          <w:szCs w:val="28"/>
        </w:rPr>
      </w:pPr>
      <w:r>
        <w:rPr>
          <w:sz w:val="28"/>
          <w:szCs w:val="28"/>
        </w:rPr>
        <w:t xml:space="preserve">територіальної громади </w:t>
      </w:r>
      <w:r w:rsidRPr="00651978">
        <w:rPr>
          <w:b/>
          <w:sz w:val="28"/>
          <w:szCs w:val="28"/>
        </w:rPr>
        <w:t>на 201</w:t>
      </w:r>
      <w:r>
        <w:rPr>
          <w:b/>
          <w:sz w:val="28"/>
          <w:szCs w:val="28"/>
        </w:rPr>
        <w:t>8</w:t>
      </w:r>
      <w:r w:rsidRPr="00651978">
        <w:rPr>
          <w:b/>
          <w:sz w:val="28"/>
          <w:szCs w:val="28"/>
        </w:rPr>
        <w:t xml:space="preserve"> рік</w:t>
      </w:r>
    </w:p>
    <w:p w:rsidR="006E677C" w:rsidRPr="00651978" w:rsidRDefault="006E677C" w:rsidP="00E80D45">
      <w:pPr>
        <w:rPr>
          <w:b/>
          <w:sz w:val="28"/>
          <w:szCs w:val="28"/>
        </w:rPr>
      </w:pPr>
    </w:p>
    <w:p w:rsidR="006E677C" w:rsidRPr="00E80D45" w:rsidRDefault="006E677C" w:rsidP="00E80D45">
      <w:pPr>
        <w:jc w:val="both"/>
        <w:rPr>
          <w:color w:val="000000"/>
          <w:sz w:val="28"/>
          <w:szCs w:val="28"/>
        </w:rPr>
      </w:pPr>
      <w:r w:rsidRPr="00651978">
        <w:rPr>
          <w:color w:val="000000"/>
          <w:sz w:val="28"/>
          <w:szCs w:val="28"/>
        </w:rPr>
        <w:t xml:space="preserve">          З метою упорядкування розміру орендної плати, що зазначаються в договорах оренди та визначення механізму оподаткування доходу від надання нерухомості в оренду (суборенду) та житловий найм, відповідно до підпункту 170.1.2 пункту 170.1 статті 170 Податкового кодексу України, керуючись п.2 ст.28 Закону України “Про місцеве самоврядування в Україні”, постановою Кабінету Міністрів України від 29.12.2010р. №1253 «Про затвердження Методики визначення мінімальної суми орендного платежу за нерухоме майно фізичних осіб», наказом Міністерства регіонального розвитку та будівництва України від </w:t>
      </w:r>
      <w:r>
        <w:rPr>
          <w:color w:val="000000"/>
          <w:sz w:val="28"/>
          <w:szCs w:val="28"/>
        </w:rPr>
        <w:t>06</w:t>
      </w:r>
      <w:r w:rsidRPr="00651978">
        <w:rPr>
          <w:color w:val="000000"/>
          <w:sz w:val="28"/>
          <w:szCs w:val="28"/>
        </w:rPr>
        <w:t>.1</w:t>
      </w:r>
      <w:r>
        <w:rPr>
          <w:color w:val="000000"/>
          <w:sz w:val="28"/>
          <w:szCs w:val="28"/>
        </w:rPr>
        <w:t>1</w:t>
      </w:r>
      <w:r w:rsidRPr="00651978">
        <w:rPr>
          <w:color w:val="000000"/>
          <w:sz w:val="28"/>
          <w:szCs w:val="28"/>
        </w:rPr>
        <w:t>.201</w:t>
      </w:r>
      <w:r>
        <w:rPr>
          <w:color w:val="000000"/>
          <w:sz w:val="28"/>
          <w:szCs w:val="28"/>
        </w:rPr>
        <w:t>7</w:t>
      </w:r>
      <w:r w:rsidRPr="00651978">
        <w:rPr>
          <w:color w:val="000000"/>
          <w:sz w:val="28"/>
          <w:szCs w:val="28"/>
        </w:rPr>
        <w:t>р. №</w:t>
      </w:r>
      <w:r>
        <w:rPr>
          <w:color w:val="000000"/>
          <w:sz w:val="28"/>
          <w:szCs w:val="28"/>
        </w:rPr>
        <w:t>291</w:t>
      </w:r>
      <w:r w:rsidRPr="00651978">
        <w:rPr>
          <w:color w:val="000000"/>
          <w:sz w:val="28"/>
          <w:szCs w:val="28"/>
        </w:rPr>
        <w:t xml:space="preserve"> «Про прогнозні середньорічні показники опосередкованої вартості спорудження житла за регіонами України</w:t>
      </w:r>
      <w:r>
        <w:rPr>
          <w:color w:val="000000"/>
          <w:sz w:val="28"/>
          <w:szCs w:val="28"/>
        </w:rPr>
        <w:t>»</w:t>
      </w:r>
      <w:r w:rsidRPr="00651978">
        <w:rPr>
          <w:color w:val="000000"/>
          <w:sz w:val="28"/>
          <w:szCs w:val="28"/>
        </w:rPr>
        <w:t xml:space="preserve"> на 201</w:t>
      </w:r>
      <w:r>
        <w:rPr>
          <w:color w:val="000000"/>
          <w:sz w:val="28"/>
          <w:szCs w:val="28"/>
        </w:rPr>
        <w:t>8 рік, відповідно до П</w:t>
      </w:r>
      <w:r w:rsidRPr="00651978">
        <w:rPr>
          <w:color w:val="000000"/>
          <w:sz w:val="28"/>
          <w:szCs w:val="28"/>
        </w:rPr>
        <w:t>лану діяльності з підготовки проектів регуляторних актів Тячівської міської ради VIІ-го скликання на 201</w:t>
      </w:r>
      <w:r>
        <w:rPr>
          <w:color w:val="000000"/>
          <w:sz w:val="28"/>
          <w:szCs w:val="28"/>
        </w:rPr>
        <w:t>8</w:t>
      </w:r>
      <w:r w:rsidRPr="00651978">
        <w:rPr>
          <w:color w:val="000000"/>
          <w:sz w:val="28"/>
          <w:szCs w:val="28"/>
        </w:rPr>
        <w:t xml:space="preserve"> рік  </w:t>
      </w:r>
      <w:r>
        <w:rPr>
          <w:color w:val="000000"/>
          <w:sz w:val="28"/>
          <w:szCs w:val="28"/>
        </w:rPr>
        <w:t>двадцять перша (позачергова)</w:t>
      </w:r>
      <w:r w:rsidRPr="00651978">
        <w:rPr>
          <w:sz w:val="28"/>
          <w:szCs w:val="28"/>
        </w:rPr>
        <w:t xml:space="preserve"> сесія сьомого скликання Тячівської міської ради Закарпатської області</w:t>
      </w:r>
    </w:p>
    <w:p w:rsidR="006E677C" w:rsidRPr="00651978" w:rsidRDefault="006E677C" w:rsidP="00E80D45">
      <w:pPr>
        <w:jc w:val="center"/>
        <w:rPr>
          <w:b/>
          <w:sz w:val="28"/>
          <w:szCs w:val="28"/>
        </w:rPr>
      </w:pPr>
      <w:r w:rsidRPr="00651978">
        <w:rPr>
          <w:b/>
          <w:sz w:val="28"/>
          <w:szCs w:val="28"/>
        </w:rPr>
        <w:t>В И Р І Ш И Л А:</w:t>
      </w:r>
    </w:p>
    <w:p w:rsidR="006E677C" w:rsidRDefault="006E677C" w:rsidP="00E80D45">
      <w:pPr>
        <w:jc w:val="both"/>
        <w:rPr>
          <w:b/>
          <w:sz w:val="28"/>
          <w:szCs w:val="28"/>
        </w:rPr>
      </w:pPr>
      <w:r w:rsidRPr="00651978">
        <w:rPr>
          <w:sz w:val="28"/>
          <w:szCs w:val="28"/>
        </w:rPr>
        <w:t xml:space="preserve">         1.</w:t>
      </w:r>
      <w:r>
        <w:rPr>
          <w:sz w:val="28"/>
          <w:szCs w:val="28"/>
        </w:rPr>
        <w:t xml:space="preserve"> Оприлюднити проект рішення щодо</w:t>
      </w:r>
      <w:r w:rsidRPr="00651978">
        <w:rPr>
          <w:sz w:val="28"/>
          <w:szCs w:val="28"/>
        </w:rPr>
        <w:t xml:space="preserve"> встановлен</w:t>
      </w:r>
      <w:r>
        <w:rPr>
          <w:sz w:val="28"/>
          <w:szCs w:val="28"/>
        </w:rPr>
        <w:t>ня</w:t>
      </w:r>
      <w:r w:rsidRPr="00651978">
        <w:rPr>
          <w:sz w:val="28"/>
          <w:szCs w:val="28"/>
        </w:rPr>
        <w:t xml:space="preserve"> мінімальн</w:t>
      </w:r>
      <w:r>
        <w:rPr>
          <w:sz w:val="28"/>
          <w:szCs w:val="28"/>
        </w:rPr>
        <w:t>ої</w:t>
      </w:r>
      <w:r w:rsidRPr="00651978">
        <w:rPr>
          <w:sz w:val="28"/>
          <w:szCs w:val="28"/>
        </w:rPr>
        <w:t xml:space="preserve"> </w:t>
      </w:r>
      <w:r w:rsidRPr="00651978">
        <w:rPr>
          <w:b/>
          <w:sz w:val="28"/>
          <w:szCs w:val="28"/>
        </w:rPr>
        <w:t xml:space="preserve">вартості місячної оренди одного квадратного метра загальної площі нерухомості </w:t>
      </w:r>
      <w:r w:rsidRPr="00651978">
        <w:rPr>
          <w:sz w:val="28"/>
          <w:szCs w:val="28"/>
        </w:rPr>
        <w:t xml:space="preserve">з урахуванням місця її розташування, інших функціональних та якісних показників </w:t>
      </w:r>
      <w:r w:rsidRPr="00651978">
        <w:rPr>
          <w:b/>
          <w:sz w:val="28"/>
          <w:szCs w:val="28"/>
        </w:rPr>
        <w:t>при передачі в оренду (суборенду) та житловий найм на</w:t>
      </w:r>
      <w:r>
        <w:rPr>
          <w:b/>
          <w:sz w:val="28"/>
          <w:szCs w:val="28"/>
        </w:rPr>
        <w:t xml:space="preserve"> території</w:t>
      </w:r>
      <w:r w:rsidRPr="00651978">
        <w:rPr>
          <w:b/>
          <w:sz w:val="28"/>
          <w:szCs w:val="28"/>
        </w:rPr>
        <w:t xml:space="preserve"> населених пунктів об’єднаної територіальної громади</w:t>
      </w:r>
      <w:r w:rsidRPr="00651978">
        <w:rPr>
          <w:sz w:val="28"/>
          <w:szCs w:val="28"/>
        </w:rPr>
        <w:t xml:space="preserve"> </w:t>
      </w:r>
      <w:r>
        <w:rPr>
          <w:sz w:val="28"/>
          <w:szCs w:val="28"/>
        </w:rPr>
        <w:t xml:space="preserve">на 2018 рік (додається) </w:t>
      </w:r>
      <w:r w:rsidRPr="00651978">
        <w:rPr>
          <w:sz w:val="28"/>
          <w:szCs w:val="28"/>
        </w:rPr>
        <w:t xml:space="preserve">у міській газеті «Тячів» та на офіційному сайті міста Тячів – Тячівської міською ради </w:t>
      </w:r>
      <w:hyperlink r:id="rId8" w:history="1">
        <w:r w:rsidRPr="00651978">
          <w:rPr>
            <w:rStyle w:val="Hyperlink"/>
            <w:b/>
            <w:sz w:val="28"/>
            <w:szCs w:val="28"/>
            <w:lang w:val="en-US"/>
          </w:rPr>
          <w:t>www</w:t>
        </w:r>
        <w:r w:rsidRPr="00651978">
          <w:rPr>
            <w:rStyle w:val="Hyperlink"/>
            <w:b/>
            <w:sz w:val="28"/>
            <w:szCs w:val="28"/>
          </w:rPr>
          <w:t>.</w:t>
        </w:r>
        <w:r w:rsidRPr="00651978">
          <w:rPr>
            <w:rStyle w:val="Hyperlink"/>
            <w:b/>
            <w:sz w:val="28"/>
            <w:szCs w:val="28"/>
            <w:lang w:val="en-US"/>
          </w:rPr>
          <w:t>tyachiv</w:t>
        </w:r>
        <w:r w:rsidRPr="00651978">
          <w:rPr>
            <w:rStyle w:val="Hyperlink"/>
            <w:b/>
            <w:sz w:val="28"/>
            <w:szCs w:val="28"/>
          </w:rPr>
          <w:t>.</w:t>
        </w:r>
        <w:r w:rsidRPr="00651978">
          <w:rPr>
            <w:rStyle w:val="Hyperlink"/>
            <w:b/>
            <w:sz w:val="28"/>
            <w:szCs w:val="28"/>
            <w:lang w:val="en-US"/>
          </w:rPr>
          <w:t>in</w:t>
        </w:r>
        <w:r w:rsidRPr="00651978">
          <w:rPr>
            <w:rStyle w:val="Hyperlink"/>
            <w:b/>
            <w:sz w:val="28"/>
            <w:szCs w:val="28"/>
          </w:rPr>
          <w:t>.</w:t>
        </w:r>
        <w:r w:rsidRPr="00651978">
          <w:rPr>
            <w:rStyle w:val="Hyperlink"/>
            <w:b/>
            <w:sz w:val="28"/>
            <w:szCs w:val="28"/>
            <w:lang w:val="en-US"/>
          </w:rPr>
          <w:t>ua</w:t>
        </w:r>
      </w:hyperlink>
      <w:r w:rsidRPr="00651978">
        <w:rPr>
          <w:b/>
          <w:sz w:val="28"/>
          <w:szCs w:val="28"/>
        </w:rPr>
        <w:t>.</w:t>
      </w:r>
    </w:p>
    <w:p w:rsidR="006E677C" w:rsidRPr="00BD79D7" w:rsidRDefault="006E677C" w:rsidP="00E80D45">
      <w:pPr>
        <w:jc w:val="both"/>
        <w:rPr>
          <w:sz w:val="28"/>
          <w:szCs w:val="28"/>
        </w:rPr>
      </w:pPr>
      <w:r w:rsidRPr="00BD79D7">
        <w:rPr>
          <w:sz w:val="28"/>
          <w:szCs w:val="28"/>
        </w:rPr>
        <w:t xml:space="preserve">        2. Виконавчому комітету в місячний термін узагальнити зміни до регуляторного акту та підготувати проект рішення ради для затвердження його у встановленому законодавством порядку.</w:t>
      </w:r>
    </w:p>
    <w:p w:rsidR="006E677C" w:rsidRDefault="006E677C" w:rsidP="00E80D45">
      <w:pPr>
        <w:jc w:val="both"/>
        <w:rPr>
          <w:sz w:val="28"/>
          <w:szCs w:val="28"/>
        </w:rPr>
      </w:pPr>
      <w:r w:rsidRPr="00651978">
        <w:rPr>
          <w:sz w:val="28"/>
          <w:szCs w:val="28"/>
        </w:rPr>
        <w:t xml:space="preserve">        3.</w:t>
      </w:r>
      <w:r>
        <w:rPr>
          <w:sz w:val="28"/>
          <w:szCs w:val="28"/>
        </w:rPr>
        <w:t xml:space="preserve"> </w:t>
      </w:r>
      <w:r w:rsidRPr="00651978">
        <w:rPr>
          <w:sz w:val="28"/>
          <w:szCs w:val="28"/>
        </w:rPr>
        <w:t>Контроль за виконанням рішення покласти на постійну депутатську комісію з питань планування бюджету, фінансів, промисловості, торгівельного та побутового обслуговування населення, розвитку підприємництва</w:t>
      </w:r>
      <w:r>
        <w:rPr>
          <w:sz w:val="28"/>
          <w:szCs w:val="28"/>
        </w:rPr>
        <w:t>,</w:t>
      </w:r>
      <w:r w:rsidRPr="00651978">
        <w:rPr>
          <w:sz w:val="28"/>
          <w:szCs w:val="28"/>
        </w:rPr>
        <w:t xml:space="preserve"> заступника міського голови з питань виконавчих органів ради Мийсароша Т.С.</w:t>
      </w:r>
    </w:p>
    <w:p w:rsidR="006E677C" w:rsidRPr="00651978" w:rsidRDefault="006E677C" w:rsidP="00E80D45">
      <w:pPr>
        <w:jc w:val="both"/>
        <w:rPr>
          <w:sz w:val="28"/>
          <w:szCs w:val="28"/>
        </w:rPr>
      </w:pPr>
    </w:p>
    <w:p w:rsidR="006E677C" w:rsidRPr="00F21724" w:rsidRDefault="006E677C" w:rsidP="00E80D45">
      <w:pPr>
        <w:jc w:val="both"/>
        <w:rPr>
          <w:b/>
          <w:sz w:val="28"/>
          <w:szCs w:val="28"/>
        </w:rPr>
      </w:pPr>
      <w:r w:rsidRPr="00F21724">
        <w:rPr>
          <w:b/>
          <w:sz w:val="28"/>
          <w:szCs w:val="28"/>
        </w:rPr>
        <w:t>Міський голова                                                                                     І.І.Ковач</w:t>
      </w:r>
    </w:p>
    <w:p w:rsidR="006E677C" w:rsidRDefault="006E677C" w:rsidP="00E80D45">
      <w:pPr>
        <w:ind w:left="6480"/>
        <w:jc w:val="both"/>
        <w:rPr>
          <w:b/>
        </w:rPr>
      </w:pPr>
    </w:p>
    <w:p w:rsidR="006E677C" w:rsidRPr="007D00A6" w:rsidRDefault="006E677C" w:rsidP="00200F99">
      <w:pPr>
        <w:rPr>
          <w:b/>
          <w:sz w:val="24"/>
          <w:szCs w:val="24"/>
        </w:rPr>
      </w:pPr>
      <w:r>
        <w:t xml:space="preserve">                                                                                             </w:t>
      </w:r>
      <w:r w:rsidRPr="00D46981">
        <w:object w:dxaOrig="878" w:dyaOrig="1193">
          <v:shape id="_x0000_i1026" type="#_x0000_t75" style="width:42.75pt;height:60pt" o:ole="" fillcolor="window">
            <v:imagedata r:id="rId6" o:title=""/>
          </v:shape>
          <o:OLEObject Type="Embed" ProgID="Word.Picture.8" ShapeID="_x0000_i1026" DrawAspect="Content" ObjectID="_1578808945" r:id="rId9"/>
        </w:object>
      </w:r>
      <w:r>
        <w:rPr>
          <w:b/>
          <w:sz w:val="28"/>
          <w:szCs w:val="28"/>
        </w:rPr>
        <w:t xml:space="preserve">                                                Проект                                                                            </w:t>
      </w:r>
    </w:p>
    <w:p w:rsidR="006E677C" w:rsidRPr="00101728" w:rsidRDefault="006E677C" w:rsidP="00200F99">
      <w:pPr>
        <w:jc w:val="center"/>
        <w:rPr>
          <w:b/>
          <w:sz w:val="28"/>
          <w:szCs w:val="28"/>
        </w:rPr>
      </w:pPr>
      <w:r>
        <w:rPr>
          <w:b/>
          <w:i/>
          <w:sz w:val="24"/>
          <w:szCs w:val="24"/>
        </w:rPr>
        <w:t xml:space="preserve"> </w:t>
      </w:r>
      <w:r w:rsidRPr="00101728">
        <w:rPr>
          <w:b/>
          <w:sz w:val="28"/>
          <w:szCs w:val="28"/>
        </w:rPr>
        <w:t>УКРАЇНА</w:t>
      </w:r>
    </w:p>
    <w:p w:rsidR="006E677C" w:rsidRPr="00101728" w:rsidRDefault="006E677C" w:rsidP="00200F99">
      <w:pPr>
        <w:jc w:val="center"/>
        <w:rPr>
          <w:b/>
          <w:sz w:val="28"/>
          <w:szCs w:val="28"/>
        </w:rPr>
      </w:pPr>
      <w:r w:rsidRPr="00101728">
        <w:rPr>
          <w:b/>
          <w:sz w:val="28"/>
          <w:szCs w:val="28"/>
        </w:rPr>
        <w:t>ТЯЧІВСЬКА МІСЬКА РАДА</w:t>
      </w:r>
    </w:p>
    <w:p w:rsidR="006E677C" w:rsidRDefault="006E677C" w:rsidP="00200F99">
      <w:pPr>
        <w:jc w:val="center"/>
        <w:rPr>
          <w:b/>
          <w:sz w:val="32"/>
          <w:szCs w:val="32"/>
        </w:rPr>
      </w:pPr>
      <w:r>
        <w:rPr>
          <w:b/>
          <w:sz w:val="32"/>
          <w:szCs w:val="32"/>
        </w:rPr>
        <w:t>_________  сесія сьомого</w:t>
      </w:r>
      <w:r w:rsidRPr="00026A84">
        <w:rPr>
          <w:b/>
          <w:sz w:val="32"/>
          <w:szCs w:val="32"/>
          <w:lang w:val="ru-RU"/>
        </w:rPr>
        <w:t xml:space="preserve"> </w:t>
      </w:r>
      <w:r>
        <w:rPr>
          <w:b/>
          <w:sz w:val="32"/>
          <w:szCs w:val="32"/>
        </w:rPr>
        <w:t xml:space="preserve">скликання </w:t>
      </w:r>
    </w:p>
    <w:p w:rsidR="006E677C" w:rsidRDefault="006E677C" w:rsidP="00200F99">
      <w:pPr>
        <w:jc w:val="center"/>
        <w:rPr>
          <w:b/>
          <w:sz w:val="32"/>
          <w:szCs w:val="32"/>
        </w:rPr>
      </w:pPr>
      <w:r w:rsidRPr="00101728">
        <w:rPr>
          <w:b/>
          <w:sz w:val="32"/>
          <w:szCs w:val="32"/>
        </w:rPr>
        <w:t>Р І Ш Е Н Н Я</w:t>
      </w:r>
    </w:p>
    <w:p w:rsidR="006E677C" w:rsidRPr="00A86159" w:rsidRDefault="006E677C" w:rsidP="00200F99">
      <w:pPr>
        <w:jc w:val="center"/>
        <w:rPr>
          <w:b/>
          <w:sz w:val="12"/>
          <w:szCs w:val="12"/>
        </w:rPr>
      </w:pPr>
    </w:p>
    <w:p w:rsidR="006E677C" w:rsidRPr="003F6C39" w:rsidRDefault="006E677C" w:rsidP="00200F99">
      <w:pPr>
        <w:rPr>
          <w:b/>
          <w:sz w:val="26"/>
          <w:szCs w:val="26"/>
        </w:rPr>
      </w:pPr>
      <w:r w:rsidRPr="003F6C39">
        <w:rPr>
          <w:b/>
          <w:sz w:val="26"/>
          <w:szCs w:val="26"/>
        </w:rPr>
        <w:t xml:space="preserve">від </w:t>
      </w:r>
      <w:r>
        <w:rPr>
          <w:b/>
          <w:sz w:val="26"/>
          <w:szCs w:val="26"/>
        </w:rPr>
        <w:t xml:space="preserve">__________  </w:t>
      </w:r>
      <w:r w:rsidRPr="003F6C39">
        <w:rPr>
          <w:b/>
          <w:sz w:val="26"/>
          <w:szCs w:val="26"/>
        </w:rPr>
        <w:t>201</w:t>
      </w:r>
      <w:r>
        <w:rPr>
          <w:b/>
          <w:sz w:val="26"/>
          <w:szCs w:val="26"/>
        </w:rPr>
        <w:t>8</w:t>
      </w:r>
      <w:r w:rsidRPr="003F6C39">
        <w:rPr>
          <w:b/>
          <w:sz w:val="26"/>
          <w:szCs w:val="26"/>
        </w:rPr>
        <w:t xml:space="preserve"> року №</w:t>
      </w:r>
      <w:r>
        <w:rPr>
          <w:b/>
          <w:sz w:val="26"/>
          <w:szCs w:val="26"/>
        </w:rPr>
        <w:t xml:space="preserve"> _____</w:t>
      </w:r>
    </w:p>
    <w:p w:rsidR="006E677C" w:rsidRDefault="006E677C" w:rsidP="00200F99">
      <w:pPr>
        <w:rPr>
          <w:b/>
          <w:sz w:val="26"/>
          <w:szCs w:val="26"/>
        </w:rPr>
      </w:pPr>
      <w:r w:rsidRPr="003F6C39">
        <w:rPr>
          <w:b/>
          <w:sz w:val="26"/>
          <w:szCs w:val="26"/>
        </w:rPr>
        <w:t>м.</w:t>
      </w:r>
      <w:r>
        <w:rPr>
          <w:b/>
          <w:sz w:val="26"/>
          <w:szCs w:val="26"/>
        </w:rPr>
        <w:t xml:space="preserve"> </w:t>
      </w:r>
      <w:r w:rsidRPr="003F6C39">
        <w:rPr>
          <w:b/>
          <w:sz w:val="26"/>
          <w:szCs w:val="26"/>
        </w:rPr>
        <w:t>Тячів</w:t>
      </w:r>
    </w:p>
    <w:p w:rsidR="006E677C" w:rsidRPr="00714346" w:rsidRDefault="006E677C" w:rsidP="00200F99">
      <w:pPr>
        <w:rPr>
          <w:b/>
          <w:sz w:val="16"/>
          <w:szCs w:val="16"/>
        </w:rPr>
      </w:pPr>
    </w:p>
    <w:p w:rsidR="006E677C" w:rsidRPr="00344897" w:rsidRDefault="006E677C" w:rsidP="00200F99">
      <w:pPr>
        <w:rPr>
          <w:sz w:val="26"/>
          <w:szCs w:val="26"/>
        </w:rPr>
      </w:pPr>
      <w:r w:rsidRPr="00344897">
        <w:rPr>
          <w:sz w:val="26"/>
          <w:szCs w:val="26"/>
        </w:rPr>
        <w:t xml:space="preserve">Про  встановлення  мінімальної  місячної  </w:t>
      </w:r>
      <w:r>
        <w:rPr>
          <w:sz w:val="26"/>
          <w:szCs w:val="26"/>
        </w:rPr>
        <w:t xml:space="preserve">  оренди</w:t>
      </w:r>
      <w:r w:rsidRPr="00344897">
        <w:rPr>
          <w:sz w:val="26"/>
          <w:szCs w:val="26"/>
        </w:rPr>
        <w:t xml:space="preserve"> </w:t>
      </w:r>
    </w:p>
    <w:p w:rsidR="006E677C" w:rsidRPr="00344897" w:rsidRDefault="006E677C" w:rsidP="00200F99">
      <w:pPr>
        <w:rPr>
          <w:sz w:val="26"/>
          <w:szCs w:val="26"/>
        </w:rPr>
      </w:pPr>
      <w:r w:rsidRPr="00344897">
        <w:rPr>
          <w:sz w:val="26"/>
          <w:szCs w:val="26"/>
        </w:rPr>
        <w:t xml:space="preserve">одного </w:t>
      </w:r>
      <w:r>
        <w:rPr>
          <w:sz w:val="26"/>
          <w:szCs w:val="26"/>
        </w:rPr>
        <w:t xml:space="preserve">   </w:t>
      </w:r>
      <w:r w:rsidRPr="00344897">
        <w:rPr>
          <w:sz w:val="26"/>
          <w:szCs w:val="26"/>
        </w:rPr>
        <w:t>квадратного</w:t>
      </w:r>
      <w:r>
        <w:rPr>
          <w:sz w:val="26"/>
          <w:szCs w:val="26"/>
        </w:rPr>
        <w:t xml:space="preserve">   </w:t>
      </w:r>
      <w:r w:rsidRPr="00344897">
        <w:rPr>
          <w:sz w:val="26"/>
          <w:szCs w:val="26"/>
        </w:rPr>
        <w:t xml:space="preserve"> метра </w:t>
      </w:r>
      <w:r>
        <w:rPr>
          <w:sz w:val="26"/>
          <w:szCs w:val="26"/>
        </w:rPr>
        <w:t xml:space="preserve">    </w:t>
      </w:r>
      <w:r w:rsidRPr="00344897">
        <w:rPr>
          <w:sz w:val="26"/>
          <w:szCs w:val="26"/>
        </w:rPr>
        <w:t xml:space="preserve">загальної  </w:t>
      </w:r>
      <w:r>
        <w:rPr>
          <w:sz w:val="26"/>
          <w:szCs w:val="26"/>
        </w:rPr>
        <w:t xml:space="preserve">   </w:t>
      </w:r>
      <w:r w:rsidRPr="00344897">
        <w:rPr>
          <w:sz w:val="26"/>
          <w:szCs w:val="26"/>
        </w:rPr>
        <w:t xml:space="preserve">площі </w:t>
      </w:r>
    </w:p>
    <w:p w:rsidR="006E677C" w:rsidRPr="00344897" w:rsidRDefault="006E677C" w:rsidP="00200F99">
      <w:pPr>
        <w:rPr>
          <w:sz w:val="26"/>
          <w:szCs w:val="26"/>
        </w:rPr>
      </w:pPr>
      <w:r w:rsidRPr="00344897">
        <w:rPr>
          <w:sz w:val="26"/>
          <w:szCs w:val="26"/>
        </w:rPr>
        <w:t xml:space="preserve">нерухомості з урахуванням місця її  розташування, </w:t>
      </w:r>
    </w:p>
    <w:p w:rsidR="006E677C" w:rsidRPr="00344897" w:rsidRDefault="006E677C" w:rsidP="00200F99">
      <w:pPr>
        <w:rPr>
          <w:sz w:val="26"/>
          <w:szCs w:val="26"/>
        </w:rPr>
      </w:pPr>
      <w:r w:rsidRPr="00344897">
        <w:rPr>
          <w:sz w:val="26"/>
          <w:szCs w:val="26"/>
        </w:rPr>
        <w:t xml:space="preserve">інших функціональних та якісних показників  </w:t>
      </w:r>
      <w:r>
        <w:rPr>
          <w:sz w:val="26"/>
          <w:szCs w:val="26"/>
        </w:rPr>
        <w:t xml:space="preserve"> </w:t>
      </w:r>
      <w:r w:rsidRPr="00344897">
        <w:rPr>
          <w:sz w:val="26"/>
          <w:szCs w:val="26"/>
        </w:rPr>
        <w:t xml:space="preserve">при </w:t>
      </w:r>
    </w:p>
    <w:p w:rsidR="006E677C" w:rsidRPr="00344897" w:rsidRDefault="006E677C" w:rsidP="00200F99">
      <w:pPr>
        <w:rPr>
          <w:sz w:val="26"/>
          <w:szCs w:val="26"/>
        </w:rPr>
      </w:pPr>
      <w:r w:rsidRPr="00344897">
        <w:rPr>
          <w:sz w:val="26"/>
          <w:szCs w:val="26"/>
        </w:rPr>
        <w:t xml:space="preserve">передачі в оренду (суборенду) </w:t>
      </w:r>
      <w:r>
        <w:rPr>
          <w:sz w:val="26"/>
          <w:szCs w:val="26"/>
        </w:rPr>
        <w:t xml:space="preserve"> </w:t>
      </w:r>
      <w:r w:rsidRPr="00344897">
        <w:rPr>
          <w:sz w:val="26"/>
          <w:szCs w:val="26"/>
        </w:rPr>
        <w:t xml:space="preserve">та  житловий  найм </w:t>
      </w:r>
    </w:p>
    <w:p w:rsidR="006E677C" w:rsidRPr="00344897" w:rsidRDefault="006E677C" w:rsidP="00200F99">
      <w:pPr>
        <w:rPr>
          <w:sz w:val="26"/>
          <w:szCs w:val="26"/>
        </w:rPr>
      </w:pPr>
      <w:r w:rsidRPr="00344897">
        <w:rPr>
          <w:sz w:val="26"/>
          <w:szCs w:val="26"/>
        </w:rPr>
        <w:t>на  території населених пунктів Тячівської міської</w:t>
      </w:r>
    </w:p>
    <w:p w:rsidR="006E677C" w:rsidRPr="00344897" w:rsidRDefault="006E677C" w:rsidP="00200F99">
      <w:pPr>
        <w:rPr>
          <w:b/>
          <w:sz w:val="26"/>
          <w:szCs w:val="26"/>
        </w:rPr>
      </w:pPr>
      <w:r w:rsidRPr="00344897">
        <w:rPr>
          <w:sz w:val="26"/>
          <w:szCs w:val="26"/>
        </w:rPr>
        <w:t xml:space="preserve">об’єднаної територіальної громади </w:t>
      </w:r>
      <w:r>
        <w:rPr>
          <w:b/>
          <w:sz w:val="26"/>
          <w:szCs w:val="26"/>
        </w:rPr>
        <w:t>на 2018</w:t>
      </w:r>
      <w:r w:rsidRPr="00344897">
        <w:rPr>
          <w:b/>
          <w:sz w:val="26"/>
          <w:szCs w:val="26"/>
        </w:rPr>
        <w:t xml:space="preserve"> рік. </w:t>
      </w:r>
    </w:p>
    <w:p w:rsidR="006E677C" w:rsidRPr="00344897" w:rsidRDefault="006E677C" w:rsidP="00200F99">
      <w:pPr>
        <w:rPr>
          <w:b/>
          <w:sz w:val="26"/>
          <w:szCs w:val="26"/>
        </w:rPr>
      </w:pPr>
    </w:p>
    <w:p w:rsidR="006E677C" w:rsidRPr="00344897" w:rsidRDefault="006E677C" w:rsidP="00200F99">
      <w:pPr>
        <w:jc w:val="both"/>
        <w:rPr>
          <w:sz w:val="26"/>
          <w:szCs w:val="26"/>
        </w:rPr>
      </w:pPr>
      <w:r w:rsidRPr="00344897">
        <w:rPr>
          <w:color w:val="000000"/>
          <w:sz w:val="26"/>
          <w:szCs w:val="26"/>
        </w:rPr>
        <w:t xml:space="preserve">          З метою упорядкування розміру орендної плати, що зазначаються в договорах оренди та визначення механізму оподаткування доходу від надання нерухомості в оренду (суборенду) та житловий найм, відповідно до підпункту 170.1.2 пункту 170.1 статті 170 Податкового кодексу України, керуючись п.2 ст.28 Закону України “Про місцеве самоврядування в Україні”, постановою Кабінету Міністрів України від 29.12.2010р. №1253 «Про затвердження Методики визначення мінімальної суми орендного платежу за нерухоме майно фізичних осіб», наказом Міністерства регіонального розвитку та будівництва України від 18.10.2016 р. №279 «Про прогнозні середньорічні показники опосередкованої вартості спорудження житла за регіонами України на 2017 рік», відповідно до плану діяльності з підготовки проектів регуляторних актів Тячівської міської ради сьомого скликання на 2017 рік та </w:t>
      </w:r>
      <w:r w:rsidRPr="00344897">
        <w:rPr>
          <w:sz w:val="26"/>
          <w:szCs w:val="26"/>
        </w:rPr>
        <w:t xml:space="preserve">оприлюднення </w:t>
      </w:r>
      <w:r w:rsidRPr="00344897">
        <w:rPr>
          <w:color w:val="000000"/>
          <w:sz w:val="26"/>
          <w:szCs w:val="26"/>
        </w:rPr>
        <w:t xml:space="preserve">розрахованих мінімальних вартостей місячної оренди одного квадратного метра загальної площі нерухомості у міській газеті «Тячів» та на офіційному сайті міста Тячів – Тячівської міської ради за адресою </w:t>
      </w:r>
      <w:hyperlink r:id="rId10" w:history="1">
        <w:r w:rsidRPr="00344897">
          <w:rPr>
            <w:rStyle w:val="Hyperlink"/>
            <w:b/>
            <w:bCs/>
            <w:sz w:val="26"/>
            <w:szCs w:val="26"/>
          </w:rPr>
          <w:t>www.tyachiv.in.ua</w:t>
        </w:r>
      </w:hyperlink>
      <w:r w:rsidRPr="00344897">
        <w:rPr>
          <w:sz w:val="26"/>
          <w:szCs w:val="26"/>
        </w:rPr>
        <w:t>, Тячівська міська рада</w:t>
      </w:r>
    </w:p>
    <w:p w:rsidR="006E677C" w:rsidRPr="00344897" w:rsidRDefault="006E677C" w:rsidP="00200F99">
      <w:pPr>
        <w:jc w:val="center"/>
        <w:rPr>
          <w:b/>
          <w:sz w:val="26"/>
          <w:szCs w:val="26"/>
        </w:rPr>
      </w:pPr>
      <w:r w:rsidRPr="00344897">
        <w:rPr>
          <w:b/>
          <w:sz w:val="26"/>
          <w:szCs w:val="26"/>
        </w:rPr>
        <w:t>В И Р І Ш И Л А:</w:t>
      </w:r>
    </w:p>
    <w:p w:rsidR="006E677C" w:rsidRPr="00344897" w:rsidRDefault="006E677C" w:rsidP="00200F99">
      <w:pPr>
        <w:jc w:val="both"/>
        <w:rPr>
          <w:sz w:val="26"/>
          <w:szCs w:val="26"/>
        </w:rPr>
      </w:pPr>
      <w:r w:rsidRPr="00344897">
        <w:rPr>
          <w:sz w:val="26"/>
          <w:szCs w:val="26"/>
        </w:rPr>
        <w:t xml:space="preserve">         1.Встановити мінімальну </w:t>
      </w:r>
      <w:r w:rsidRPr="00344897">
        <w:rPr>
          <w:b/>
          <w:sz w:val="26"/>
          <w:szCs w:val="26"/>
        </w:rPr>
        <w:t>вартість</w:t>
      </w:r>
      <w:r>
        <w:rPr>
          <w:b/>
          <w:sz w:val="26"/>
          <w:szCs w:val="26"/>
        </w:rPr>
        <w:t xml:space="preserve"> місячної оренди</w:t>
      </w:r>
      <w:r w:rsidRPr="00344897">
        <w:rPr>
          <w:b/>
          <w:sz w:val="26"/>
          <w:szCs w:val="26"/>
        </w:rPr>
        <w:t xml:space="preserve"> одного квадратного метра загальної площі нерухомості </w:t>
      </w:r>
      <w:r w:rsidRPr="00344897">
        <w:rPr>
          <w:sz w:val="26"/>
          <w:szCs w:val="26"/>
        </w:rPr>
        <w:t xml:space="preserve">з урахуванням місця її розташування, інших функціональних та якісних показників </w:t>
      </w:r>
      <w:r w:rsidRPr="00344897">
        <w:rPr>
          <w:b/>
          <w:sz w:val="26"/>
          <w:szCs w:val="26"/>
        </w:rPr>
        <w:t>при передачі в оренду (суборенду) та житловий найм на території населених пунктів Тячівської міської об’єднаної територіальної громади</w:t>
      </w:r>
      <w:r w:rsidRPr="00344897">
        <w:rPr>
          <w:sz w:val="26"/>
          <w:szCs w:val="26"/>
        </w:rPr>
        <w:t xml:space="preserve"> у розмірах згідно додатку 1 до цього рішення (додається). </w:t>
      </w:r>
    </w:p>
    <w:p w:rsidR="006E677C" w:rsidRPr="00344897" w:rsidRDefault="006E677C" w:rsidP="00200F99">
      <w:pPr>
        <w:jc w:val="both"/>
        <w:rPr>
          <w:sz w:val="26"/>
          <w:szCs w:val="26"/>
        </w:rPr>
      </w:pPr>
      <w:r w:rsidRPr="00344897">
        <w:rPr>
          <w:sz w:val="26"/>
          <w:szCs w:val="26"/>
        </w:rPr>
        <w:t xml:space="preserve">         2.Рекомендувати ДПІ у Тячівському районі ГУ ДФС в Закарпатській області при здійсненні контролю за повнотою надходжень податку на доходи з фізичних осіб від надання нерухомості в орен</w:t>
      </w:r>
      <w:r>
        <w:rPr>
          <w:sz w:val="26"/>
          <w:szCs w:val="26"/>
        </w:rPr>
        <w:t>ду (суборенду) та житловий найм</w:t>
      </w:r>
      <w:r w:rsidRPr="00344897">
        <w:rPr>
          <w:sz w:val="26"/>
          <w:szCs w:val="26"/>
        </w:rPr>
        <w:t xml:space="preserve"> керуватис</w:t>
      </w:r>
      <w:r>
        <w:rPr>
          <w:sz w:val="26"/>
          <w:szCs w:val="26"/>
        </w:rPr>
        <w:t>ь</w:t>
      </w:r>
      <w:r w:rsidRPr="00344897">
        <w:rPr>
          <w:sz w:val="26"/>
          <w:szCs w:val="26"/>
        </w:rPr>
        <w:t xml:space="preserve"> даним рішенням.</w:t>
      </w:r>
    </w:p>
    <w:p w:rsidR="006E677C" w:rsidRPr="00344897" w:rsidRDefault="006E677C" w:rsidP="00200F99">
      <w:pPr>
        <w:jc w:val="both"/>
        <w:rPr>
          <w:b/>
          <w:sz w:val="26"/>
          <w:szCs w:val="26"/>
        </w:rPr>
      </w:pPr>
      <w:r w:rsidRPr="00344897">
        <w:rPr>
          <w:sz w:val="26"/>
          <w:szCs w:val="26"/>
        </w:rPr>
        <w:t xml:space="preserve">        3.Оприлюднити дане рішення у міській газеті «Тячів» та</w:t>
      </w:r>
      <w:r>
        <w:rPr>
          <w:sz w:val="26"/>
          <w:szCs w:val="26"/>
        </w:rPr>
        <w:t xml:space="preserve"> </w:t>
      </w:r>
      <w:r w:rsidRPr="00344897">
        <w:rPr>
          <w:sz w:val="26"/>
          <w:szCs w:val="26"/>
        </w:rPr>
        <w:t xml:space="preserve">на офіційному сайті  Тячівської міської ради </w:t>
      </w:r>
      <w:hyperlink r:id="rId11" w:history="1">
        <w:r w:rsidRPr="00344897">
          <w:rPr>
            <w:rStyle w:val="Hyperlink"/>
            <w:b/>
            <w:sz w:val="26"/>
            <w:szCs w:val="26"/>
            <w:lang w:val="en-US"/>
          </w:rPr>
          <w:t>www</w:t>
        </w:r>
        <w:r w:rsidRPr="00344897">
          <w:rPr>
            <w:rStyle w:val="Hyperlink"/>
            <w:b/>
            <w:sz w:val="26"/>
            <w:szCs w:val="26"/>
          </w:rPr>
          <w:t>.</w:t>
        </w:r>
        <w:r w:rsidRPr="00344897">
          <w:rPr>
            <w:rStyle w:val="Hyperlink"/>
            <w:b/>
            <w:sz w:val="26"/>
            <w:szCs w:val="26"/>
            <w:lang w:val="en-US"/>
          </w:rPr>
          <w:t>tyachiv</w:t>
        </w:r>
        <w:r w:rsidRPr="00344897">
          <w:rPr>
            <w:rStyle w:val="Hyperlink"/>
            <w:b/>
            <w:sz w:val="26"/>
            <w:szCs w:val="26"/>
          </w:rPr>
          <w:t>.</w:t>
        </w:r>
        <w:r w:rsidRPr="00344897">
          <w:rPr>
            <w:rStyle w:val="Hyperlink"/>
            <w:b/>
            <w:sz w:val="26"/>
            <w:szCs w:val="26"/>
            <w:lang w:val="en-US"/>
          </w:rPr>
          <w:t>in</w:t>
        </w:r>
        <w:r w:rsidRPr="00344897">
          <w:rPr>
            <w:rStyle w:val="Hyperlink"/>
            <w:b/>
            <w:sz w:val="26"/>
            <w:szCs w:val="26"/>
          </w:rPr>
          <w:t>.</w:t>
        </w:r>
        <w:r w:rsidRPr="00344897">
          <w:rPr>
            <w:rStyle w:val="Hyperlink"/>
            <w:b/>
            <w:sz w:val="26"/>
            <w:szCs w:val="26"/>
            <w:lang w:val="en-US"/>
          </w:rPr>
          <w:t>ua</w:t>
        </w:r>
      </w:hyperlink>
      <w:r w:rsidRPr="00344897">
        <w:rPr>
          <w:b/>
          <w:sz w:val="26"/>
          <w:szCs w:val="26"/>
        </w:rPr>
        <w:t>.</w:t>
      </w:r>
    </w:p>
    <w:p w:rsidR="006E677C" w:rsidRDefault="006E677C" w:rsidP="00200F99">
      <w:pPr>
        <w:jc w:val="both"/>
        <w:rPr>
          <w:sz w:val="26"/>
          <w:szCs w:val="26"/>
        </w:rPr>
      </w:pPr>
      <w:r w:rsidRPr="004956D8">
        <w:rPr>
          <w:sz w:val="26"/>
          <w:szCs w:val="26"/>
        </w:rPr>
        <w:t xml:space="preserve">        4.Контроль за виконанням рішення покласти на постійну депутатську комісію з питань планування фінансів, бюджету, соціально-економічного розвитку, промисловості, підприємництва та сфери послуг (голова Мийсарош Т.С.)</w:t>
      </w:r>
      <w:r>
        <w:rPr>
          <w:sz w:val="26"/>
          <w:szCs w:val="26"/>
        </w:rPr>
        <w:t>.</w:t>
      </w:r>
      <w:r w:rsidRPr="004956D8">
        <w:rPr>
          <w:sz w:val="26"/>
          <w:szCs w:val="26"/>
        </w:rPr>
        <w:t xml:space="preserve"> </w:t>
      </w:r>
    </w:p>
    <w:p w:rsidR="006E677C" w:rsidRDefault="006E677C" w:rsidP="00200F99">
      <w:pPr>
        <w:jc w:val="both"/>
        <w:rPr>
          <w:sz w:val="26"/>
          <w:szCs w:val="26"/>
        </w:rPr>
      </w:pPr>
    </w:p>
    <w:p w:rsidR="006E677C" w:rsidRPr="002E0B76" w:rsidRDefault="006E677C" w:rsidP="00200F99">
      <w:pPr>
        <w:rPr>
          <w:b/>
          <w:sz w:val="16"/>
          <w:szCs w:val="16"/>
        </w:rPr>
      </w:pPr>
      <w:r w:rsidRPr="00B85D2A">
        <w:rPr>
          <w:b/>
          <w:sz w:val="26"/>
          <w:szCs w:val="26"/>
        </w:rPr>
        <w:t xml:space="preserve">  Міський голова                                                                                                             І.І.Ковач</w:t>
      </w:r>
      <w:r w:rsidRPr="00B85D2A">
        <w:rPr>
          <w:b/>
          <w:color w:val="333333"/>
          <w:sz w:val="24"/>
          <w:szCs w:val="24"/>
        </w:rPr>
        <w:t xml:space="preserve">    </w:t>
      </w:r>
    </w:p>
    <w:p w:rsidR="006E677C" w:rsidRDefault="006E677C" w:rsidP="00E80D45">
      <w:pPr>
        <w:rPr>
          <w:b/>
          <w:sz w:val="24"/>
          <w:szCs w:val="24"/>
        </w:rPr>
      </w:pPr>
    </w:p>
    <w:p w:rsidR="006E677C" w:rsidRDefault="006E677C" w:rsidP="00E80D45">
      <w:pPr>
        <w:rPr>
          <w:b/>
          <w:sz w:val="24"/>
          <w:szCs w:val="24"/>
        </w:rPr>
      </w:pPr>
    </w:p>
    <w:p w:rsidR="006E677C" w:rsidRDefault="006E677C" w:rsidP="00E80D45">
      <w:pPr>
        <w:rPr>
          <w:b/>
          <w:sz w:val="24"/>
          <w:szCs w:val="24"/>
        </w:rPr>
      </w:pPr>
    </w:p>
    <w:p w:rsidR="006E677C" w:rsidRDefault="006E677C" w:rsidP="00E21713">
      <w:pPr>
        <w:ind w:left="6480"/>
        <w:jc w:val="both"/>
        <w:rPr>
          <w:b/>
          <w:sz w:val="22"/>
          <w:szCs w:val="22"/>
        </w:rPr>
      </w:pPr>
      <w:r>
        <w:rPr>
          <w:b/>
          <w:sz w:val="22"/>
          <w:szCs w:val="22"/>
        </w:rPr>
        <w:t xml:space="preserve">                            </w:t>
      </w:r>
      <w:r w:rsidRPr="00D0144F">
        <w:rPr>
          <w:b/>
          <w:sz w:val="22"/>
          <w:szCs w:val="22"/>
        </w:rPr>
        <w:t>Д</w:t>
      </w:r>
      <w:r>
        <w:rPr>
          <w:b/>
          <w:sz w:val="22"/>
          <w:szCs w:val="22"/>
        </w:rPr>
        <w:t>одаток 1</w:t>
      </w:r>
    </w:p>
    <w:p w:rsidR="006E677C" w:rsidRPr="00BE353F" w:rsidRDefault="006E677C" w:rsidP="00E21713">
      <w:pPr>
        <w:jc w:val="both"/>
        <w:rPr>
          <w:b/>
          <w:sz w:val="22"/>
          <w:szCs w:val="22"/>
        </w:rPr>
      </w:pPr>
      <w:r>
        <w:rPr>
          <w:sz w:val="22"/>
          <w:szCs w:val="22"/>
        </w:rPr>
        <w:t xml:space="preserve">                                                                                                                                     </w:t>
      </w:r>
      <w:r w:rsidRPr="00D0144F">
        <w:rPr>
          <w:sz w:val="22"/>
          <w:szCs w:val="22"/>
        </w:rPr>
        <w:t xml:space="preserve">до рішення </w:t>
      </w:r>
      <w:r>
        <w:rPr>
          <w:sz w:val="22"/>
          <w:szCs w:val="22"/>
        </w:rPr>
        <w:t>___________ сесії</w:t>
      </w:r>
    </w:p>
    <w:p w:rsidR="006E677C" w:rsidRPr="001869F4" w:rsidRDefault="006E677C" w:rsidP="00E21713">
      <w:pPr>
        <w:jc w:val="both"/>
        <w:rPr>
          <w:sz w:val="22"/>
          <w:szCs w:val="22"/>
        </w:rPr>
      </w:pPr>
      <w:r>
        <w:rPr>
          <w:sz w:val="22"/>
          <w:szCs w:val="22"/>
        </w:rPr>
        <w:t xml:space="preserve">                                                                                                                                     сьомого скликання</w:t>
      </w:r>
    </w:p>
    <w:p w:rsidR="006E677C" w:rsidRPr="00D0144F" w:rsidRDefault="006E677C" w:rsidP="00E21713">
      <w:pPr>
        <w:jc w:val="both"/>
        <w:rPr>
          <w:sz w:val="22"/>
          <w:szCs w:val="22"/>
        </w:rPr>
      </w:pPr>
      <w:r>
        <w:rPr>
          <w:sz w:val="22"/>
          <w:szCs w:val="22"/>
        </w:rPr>
        <w:t xml:space="preserve">                                                                                                                                     </w:t>
      </w:r>
      <w:r w:rsidRPr="00D0144F">
        <w:rPr>
          <w:sz w:val="22"/>
          <w:szCs w:val="22"/>
        </w:rPr>
        <w:t>Тячівської міської ради</w:t>
      </w:r>
    </w:p>
    <w:p w:rsidR="006E677C" w:rsidRDefault="006E677C" w:rsidP="00E21713">
      <w:pPr>
        <w:jc w:val="both"/>
        <w:rPr>
          <w:sz w:val="22"/>
          <w:szCs w:val="22"/>
        </w:rPr>
      </w:pPr>
      <w:r>
        <w:rPr>
          <w:sz w:val="22"/>
          <w:szCs w:val="22"/>
        </w:rPr>
        <w:t xml:space="preserve">                                                                                                                                     </w:t>
      </w:r>
      <w:r w:rsidRPr="00D0144F">
        <w:rPr>
          <w:sz w:val="22"/>
          <w:szCs w:val="22"/>
        </w:rPr>
        <w:t xml:space="preserve">від </w:t>
      </w:r>
      <w:r>
        <w:rPr>
          <w:sz w:val="22"/>
          <w:szCs w:val="22"/>
        </w:rPr>
        <w:t xml:space="preserve">_________ </w:t>
      </w:r>
      <w:r w:rsidRPr="00D0144F">
        <w:rPr>
          <w:sz w:val="22"/>
          <w:szCs w:val="22"/>
        </w:rPr>
        <w:t>20</w:t>
      </w:r>
      <w:r>
        <w:rPr>
          <w:sz w:val="22"/>
          <w:szCs w:val="22"/>
        </w:rPr>
        <w:t xml:space="preserve">18 </w:t>
      </w:r>
      <w:r w:rsidRPr="00D0144F">
        <w:rPr>
          <w:sz w:val="22"/>
          <w:szCs w:val="22"/>
        </w:rPr>
        <w:t>року №</w:t>
      </w:r>
      <w:r>
        <w:rPr>
          <w:sz w:val="22"/>
          <w:szCs w:val="22"/>
        </w:rPr>
        <w:t xml:space="preserve"> ____</w:t>
      </w:r>
    </w:p>
    <w:p w:rsidR="006E677C" w:rsidRDefault="006E677C" w:rsidP="00E21713">
      <w:pPr>
        <w:rPr>
          <w:b/>
          <w:color w:val="333333"/>
          <w:sz w:val="24"/>
          <w:szCs w:val="24"/>
        </w:rPr>
      </w:pPr>
    </w:p>
    <w:p w:rsidR="006E677C" w:rsidRDefault="006E677C" w:rsidP="00E21713">
      <w:pPr>
        <w:jc w:val="center"/>
        <w:rPr>
          <w:b/>
          <w:color w:val="000000"/>
          <w:sz w:val="24"/>
          <w:szCs w:val="24"/>
        </w:rPr>
      </w:pPr>
      <w:r w:rsidRPr="002D7729">
        <w:rPr>
          <w:b/>
          <w:color w:val="000000"/>
          <w:sz w:val="24"/>
          <w:szCs w:val="24"/>
        </w:rPr>
        <w:t xml:space="preserve">Мінімальна вартість </w:t>
      </w:r>
      <w:r>
        <w:rPr>
          <w:b/>
          <w:color w:val="000000"/>
          <w:sz w:val="24"/>
          <w:szCs w:val="24"/>
        </w:rPr>
        <w:t>місячної оренди</w:t>
      </w:r>
    </w:p>
    <w:p w:rsidR="006E677C" w:rsidRDefault="006E677C" w:rsidP="00E21713">
      <w:pPr>
        <w:jc w:val="both"/>
        <w:rPr>
          <w:b/>
          <w:color w:val="000000"/>
          <w:sz w:val="24"/>
          <w:szCs w:val="24"/>
        </w:rPr>
      </w:pPr>
      <w:smartTag w:uri="urn:schemas-microsoft-com:office:smarttags" w:element="metricconverter">
        <w:smartTagPr>
          <w:attr w:name="ProductID" w:val="1 кв. метра"/>
        </w:smartTagPr>
        <w:r w:rsidRPr="002D7729">
          <w:rPr>
            <w:b/>
            <w:color w:val="000000"/>
            <w:sz w:val="24"/>
            <w:szCs w:val="24"/>
          </w:rPr>
          <w:t>1 кв. метра</w:t>
        </w:r>
      </w:smartTag>
      <w:r w:rsidRPr="002D7729">
        <w:rPr>
          <w:b/>
          <w:color w:val="000000"/>
          <w:sz w:val="24"/>
          <w:szCs w:val="24"/>
        </w:rPr>
        <w:t xml:space="preserve"> загальної площі нерухомості з урахуванням місця її розташування, інших функціональних та якісних показників при передачі в оренду (суборенду) та житловий най</w:t>
      </w:r>
      <w:r>
        <w:rPr>
          <w:b/>
          <w:color w:val="000000"/>
          <w:sz w:val="24"/>
          <w:szCs w:val="24"/>
        </w:rPr>
        <w:t>м</w:t>
      </w:r>
      <w:r w:rsidRPr="002D7729">
        <w:rPr>
          <w:b/>
          <w:color w:val="000000"/>
          <w:sz w:val="24"/>
          <w:szCs w:val="24"/>
        </w:rPr>
        <w:t xml:space="preserve"> на території населених пунктів Тячівської міської об</w:t>
      </w:r>
      <w:r>
        <w:rPr>
          <w:b/>
          <w:color w:val="000000"/>
          <w:sz w:val="24"/>
          <w:szCs w:val="24"/>
        </w:rPr>
        <w:t>’</w:t>
      </w:r>
      <w:r w:rsidRPr="002D7729">
        <w:rPr>
          <w:b/>
          <w:color w:val="000000"/>
          <w:sz w:val="24"/>
          <w:szCs w:val="24"/>
        </w:rPr>
        <w:t xml:space="preserve">єднаної </w:t>
      </w:r>
      <w:r>
        <w:rPr>
          <w:b/>
          <w:color w:val="000000"/>
          <w:sz w:val="24"/>
          <w:szCs w:val="24"/>
        </w:rPr>
        <w:t>територіальної громади на 2018 рік.</w:t>
      </w:r>
    </w:p>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5940"/>
        <w:gridCol w:w="2160"/>
        <w:gridCol w:w="1800"/>
        <w:gridCol w:w="900"/>
      </w:tblGrid>
      <w:tr w:rsidR="006E677C" w:rsidRPr="004D3A30" w:rsidTr="00054FD4">
        <w:trPr>
          <w:trHeight w:val="1487"/>
        </w:trPr>
        <w:tc>
          <w:tcPr>
            <w:tcW w:w="360" w:type="dxa"/>
          </w:tcPr>
          <w:p w:rsidR="006E677C" w:rsidRPr="004D3A30" w:rsidRDefault="006E677C" w:rsidP="00054FD4">
            <w:pPr>
              <w:jc w:val="center"/>
            </w:pPr>
            <w:r w:rsidRPr="004D3A30">
              <w:t>№</w:t>
            </w:r>
          </w:p>
          <w:p w:rsidR="006E677C" w:rsidRPr="004D3A30" w:rsidRDefault="006E677C" w:rsidP="00054FD4">
            <w:pPr>
              <w:jc w:val="center"/>
            </w:pPr>
            <w:r w:rsidRPr="004D3A30">
              <w:t>п/п</w:t>
            </w:r>
          </w:p>
        </w:tc>
        <w:tc>
          <w:tcPr>
            <w:tcW w:w="5940" w:type="dxa"/>
          </w:tcPr>
          <w:p w:rsidR="006E677C" w:rsidRPr="004D3A30" w:rsidRDefault="006E677C" w:rsidP="00054FD4">
            <w:pPr>
              <w:jc w:val="center"/>
            </w:pPr>
            <w:r w:rsidRPr="004D3A30">
              <w:t>Місцезнаходження об'єкта нерухомого майна.</w:t>
            </w:r>
          </w:p>
        </w:tc>
        <w:tc>
          <w:tcPr>
            <w:tcW w:w="2160" w:type="dxa"/>
          </w:tcPr>
          <w:p w:rsidR="006E677C" w:rsidRPr="004D3A30" w:rsidRDefault="006E677C" w:rsidP="00054FD4">
            <w:pPr>
              <w:jc w:val="center"/>
            </w:pPr>
            <w:r w:rsidRPr="00297849">
              <w:rPr>
                <w:color w:val="000000"/>
                <w:lang w:val="ru-RU"/>
              </w:rPr>
              <w:t>Вид  функціонального  використання  об'єкта  нерухомого майна.</w:t>
            </w:r>
          </w:p>
        </w:tc>
        <w:tc>
          <w:tcPr>
            <w:tcW w:w="1800" w:type="dxa"/>
          </w:tcPr>
          <w:p w:rsidR="006E677C" w:rsidRPr="004D3A30" w:rsidRDefault="006E677C" w:rsidP="00054FD4">
            <w:pPr>
              <w:jc w:val="center"/>
            </w:pPr>
            <w:r w:rsidRPr="004D3A30">
              <w:t>Технічний стан</w:t>
            </w:r>
          </w:p>
          <w:p w:rsidR="006E677C" w:rsidRDefault="006E677C" w:rsidP="00054FD4">
            <w:pPr>
              <w:jc w:val="center"/>
            </w:pPr>
            <w:r w:rsidRPr="004D3A30">
              <w:t>(добрий - коефіцієнт 1, 0,</w:t>
            </w:r>
          </w:p>
          <w:p w:rsidR="006E677C" w:rsidRDefault="006E677C" w:rsidP="00054FD4">
            <w:pPr>
              <w:jc w:val="center"/>
            </w:pPr>
            <w:r w:rsidRPr="004D3A30">
              <w:t>задовільний – коефіцієнт – 0,75,</w:t>
            </w:r>
          </w:p>
          <w:p w:rsidR="006E677C" w:rsidRPr="004D3A30" w:rsidRDefault="006E677C" w:rsidP="00054FD4">
            <w:pPr>
              <w:jc w:val="center"/>
            </w:pPr>
            <w:r>
              <w:t>незадовільний</w:t>
            </w:r>
            <w:r w:rsidRPr="004D3A30">
              <w:t xml:space="preserve"> – 0,5)</w:t>
            </w:r>
          </w:p>
        </w:tc>
        <w:tc>
          <w:tcPr>
            <w:tcW w:w="900" w:type="dxa"/>
          </w:tcPr>
          <w:p w:rsidR="006E677C" w:rsidRPr="004D3A30" w:rsidRDefault="006E677C" w:rsidP="00054FD4">
            <w:pPr>
              <w:jc w:val="center"/>
            </w:pPr>
            <w:r w:rsidRPr="004D3A30">
              <w:t xml:space="preserve">Мінімальна сума, </w:t>
            </w:r>
            <w:r w:rsidRPr="00297849">
              <w:rPr>
                <w:b/>
              </w:rPr>
              <w:t>грн./кв.м</w:t>
            </w:r>
            <w:r>
              <w:t>.</w:t>
            </w:r>
          </w:p>
        </w:tc>
      </w:tr>
      <w:tr w:rsidR="006E677C" w:rsidRPr="004D3A30" w:rsidTr="00054FD4">
        <w:tc>
          <w:tcPr>
            <w:tcW w:w="360" w:type="dxa"/>
          </w:tcPr>
          <w:p w:rsidR="006E677C" w:rsidRPr="004D3A30" w:rsidRDefault="006E677C" w:rsidP="00054FD4">
            <w:pPr>
              <w:jc w:val="center"/>
            </w:pPr>
            <w:r w:rsidRPr="004D3A30">
              <w:t>1</w:t>
            </w:r>
          </w:p>
        </w:tc>
        <w:tc>
          <w:tcPr>
            <w:tcW w:w="5940" w:type="dxa"/>
          </w:tcPr>
          <w:p w:rsidR="006E677C" w:rsidRPr="004D3A30" w:rsidRDefault="006E677C" w:rsidP="00054FD4">
            <w:pPr>
              <w:jc w:val="center"/>
            </w:pPr>
            <w:r w:rsidRPr="004D3A30">
              <w:t>2</w:t>
            </w:r>
          </w:p>
        </w:tc>
        <w:tc>
          <w:tcPr>
            <w:tcW w:w="2160" w:type="dxa"/>
          </w:tcPr>
          <w:p w:rsidR="006E677C" w:rsidRPr="004D3A30" w:rsidRDefault="006E677C" w:rsidP="00054FD4">
            <w:pPr>
              <w:jc w:val="center"/>
            </w:pPr>
            <w:r w:rsidRPr="004D3A30">
              <w:t>3</w:t>
            </w:r>
          </w:p>
        </w:tc>
        <w:tc>
          <w:tcPr>
            <w:tcW w:w="1800" w:type="dxa"/>
          </w:tcPr>
          <w:p w:rsidR="006E677C" w:rsidRPr="004D3A30" w:rsidRDefault="006E677C" w:rsidP="00054FD4">
            <w:pPr>
              <w:jc w:val="center"/>
            </w:pPr>
            <w:r w:rsidRPr="004D3A30">
              <w:t>4</w:t>
            </w:r>
          </w:p>
        </w:tc>
        <w:tc>
          <w:tcPr>
            <w:tcW w:w="900" w:type="dxa"/>
          </w:tcPr>
          <w:p w:rsidR="006E677C" w:rsidRPr="004D3A30" w:rsidRDefault="006E677C" w:rsidP="00054FD4">
            <w:pPr>
              <w:jc w:val="center"/>
            </w:pPr>
            <w:r w:rsidRPr="004D3A30">
              <w:t>5</w:t>
            </w:r>
          </w:p>
        </w:tc>
      </w:tr>
      <w:tr w:rsidR="006E677C" w:rsidRPr="005A2EBE" w:rsidTr="00054FD4">
        <w:tc>
          <w:tcPr>
            <w:tcW w:w="360" w:type="dxa"/>
            <w:vMerge w:val="restart"/>
          </w:tcPr>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r w:rsidRPr="004D3A30">
              <w:t>1</w:t>
            </w:r>
          </w:p>
        </w:tc>
        <w:tc>
          <w:tcPr>
            <w:tcW w:w="5940" w:type="dxa"/>
            <w:vMerge w:val="restart"/>
          </w:tcPr>
          <w:p w:rsidR="006E677C" w:rsidRPr="00B85D2A" w:rsidRDefault="006E677C" w:rsidP="00054FD4">
            <w:pPr>
              <w:jc w:val="center"/>
              <w:rPr>
                <w:b/>
                <w:sz w:val="24"/>
                <w:szCs w:val="24"/>
              </w:rPr>
            </w:pPr>
            <w:r w:rsidRPr="00B85D2A">
              <w:rPr>
                <w:b/>
                <w:sz w:val="24"/>
                <w:szCs w:val="24"/>
              </w:rPr>
              <w:t>Центральна зона м. Тячів</w:t>
            </w:r>
          </w:p>
          <w:p w:rsidR="006E677C" w:rsidRPr="00B85D2A" w:rsidRDefault="006E677C" w:rsidP="00054FD4">
            <w:pPr>
              <w:jc w:val="center"/>
              <w:rPr>
                <w:sz w:val="24"/>
                <w:szCs w:val="24"/>
              </w:rPr>
            </w:pPr>
            <w:r w:rsidRPr="00B85D2A">
              <w:rPr>
                <w:sz w:val="24"/>
                <w:szCs w:val="24"/>
              </w:rPr>
              <w:t>(коефіцієнт 2)</w:t>
            </w:r>
          </w:p>
          <w:p w:rsidR="006E677C" w:rsidRPr="00B85D2A" w:rsidRDefault="006E677C" w:rsidP="00054FD4">
            <w:pPr>
              <w:jc w:val="both"/>
              <w:rPr>
                <w:sz w:val="24"/>
                <w:szCs w:val="24"/>
              </w:rPr>
            </w:pPr>
            <w:r w:rsidRPr="00B85D2A">
              <w:rPr>
                <w:sz w:val="24"/>
                <w:szCs w:val="24"/>
              </w:rPr>
              <w:t>вул. Армійська (колишня Червоноармійська), провулок Армійський (колишній Червоноармійський), вул. Незалежності (колишня Леніна), пл. Незалежності (колишня Леніна), пл. Пам</w:t>
            </w:r>
            <w:r w:rsidRPr="00B85D2A">
              <w:rPr>
                <w:sz w:val="24"/>
                <w:szCs w:val="24"/>
                <w:lang w:val="cy-GB"/>
              </w:rPr>
              <w:t>’</w:t>
            </w:r>
            <w:r w:rsidRPr="00B85D2A">
              <w:rPr>
                <w:sz w:val="24"/>
                <w:szCs w:val="24"/>
              </w:rPr>
              <w:t>яті, вул. Нересенська (вул .Жовтнева), пл. Поштова, вул. Вайди, вул. Гоголя, вул. Кошута, вул. Чехова, вул. Гагаріна, провулок Незалежності (колишня вул. Піонерська), вул. І.Франка, пл. Туряниці, вул. Пушкіна, пров. Пушкіна, вул. Маркуша, вул.Ринкова, вул. Голлоші, пров. Голлоші (колишня Фрунзе), вул. Польова, урочище «Варош верг»</w:t>
            </w:r>
          </w:p>
        </w:tc>
        <w:tc>
          <w:tcPr>
            <w:tcW w:w="2160" w:type="dxa"/>
            <w:vMerge w:val="restart"/>
          </w:tcPr>
          <w:p w:rsidR="006E677C" w:rsidRPr="005A2EBE" w:rsidRDefault="006E677C" w:rsidP="00054FD4">
            <w:pPr>
              <w:jc w:val="center"/>
              <w:rPr>
                <w:sz w:val="24"/>
                <w:szCs w:val="24"/>
              </w:rPr>
            </w:pPr>
            <w:r w:rsidRPr="005A2EBE">
              <w:rPr>
                <w:sz w:val="24"/>
                <w:szCs w:val="24"/>
              </w:rPr>
              <w:t>Провадження виробничої</w:t>
            </w:r>
          </w:p>
          <w:p w:rsidR="006E677C" w:rsidRPr="005A2EBE" w:rsidRDefault="006E677C" w:rsidP="00054FD4">
            <w:pPr>
              <w:jc w:val="center"/>
              <w:rPr>
                <w:sz w:val="24"/>
                <w:szCs w:val="24"/>
              </w:rPr>
            </w:pPr>
            <w:r w:rsidRPr="005A2EBE">
              <w:rPr>
                <w:sz w:val="24"/>
                <w:szCs w:val="24"/>
              </w:rPr>
              <w:t xml:space="preserve"> діяльності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62,28</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46,71</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31,14</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sz w:val="24"/>
                <w:szCs w:val="24"/>
              </w:rPr>
              <w:t>Інша комерційна діяльність</w:t>
            </w:r>
          </w:p>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93,42</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70,07</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46,71</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31,14</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23,35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15,57</w:t>
            </w:r>
          </w:p>
        </w:tc>
      </w:tr>
      <w:tr w:rsidR="006E677C" w:rsidRPr="005A2EBE" w:rsidTr="00054FD4">
        <w:tc>
          <w:tcPr>
            <w:tcW w:w="360" w:type="dxa"/>
            <w:vMerge w:val="restart"/>
          </w:tcPr>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r w:rsidRPr="004D3A30">
              <w:t>2</w:t>
            </w:r>
          </w:p>
        </w:tc>
        <w:tc>
          <w:tcPr>
            <w:tcW w:w="5940" w:type="dxa"/>
            <w:vMerge w:val="restart"/>
          </w:tcPr>
          <w:p w:rsidR="006E677C" w:rsidRPr="00B85D2A" w:rsidRDefault="006E677C" w:rsidP="00054FD4">
            <w:pPr>
              <w:jc w:val="center"/>
              <w:rPr>
                <w:b/>
                <w:sz w:val="24"/>
                <w:szCs w:val="24"/>
              </w:rPr>
            </w:pPr>
            <w:r w:rsidRPr="00B85D2A">
              <w:rPr>
                <w:b/>
                <w:sz w:val="24"/>
                <w:szCs w:val="24"/>
              </w:rPr>
              <w:t>Зона розміщена близько до центру м. Тячів</w:t>
            </w:r>
          </w:p>
          <w:p w:rsidR="006E677C" w:rsidRPr="00B85D2A" w:rsidRDefault="006E677C" w:rsidP="00054FD4">
            <w:pPr>
              <w:jc w:val="center"/>
              <w:rPr>
                <w:sz w:val="24"/>
                <w:szCs w:val="24"/>
              </w:rPr>
            </w:pPr>
            <w:r w:rsidRPr="00B85D2A">
              <w:rPr>
                <w:sz w:val="24"/>
                <w:szCs w:val="24"/>
              </w:rPr>
              <w:t>(коефіцієнт 1,5)</w:t>
            </w:r>
          </w:p>
          <w:p w:rsidR="006E677C" w:rsidRPr="00B85D2A" w:rsidRDefault="006E677C" w:rsidP="00054FD4">
            <w:pPr>
              <w:pStyle w:val="HTMLPreformatted"/>
              <w:jc w:val="both"/>
              <w:rPr>
                <w:color w:val="auto"/>
                <w:sz w:val="24"/>
                <w:szCs w:val="24"/>
                <w:lang w:val="uk-UA"/>
              </w:rPr>
            </w:pPr>
            <w:r w:rsidRPr="00B85D2A">
              <w:rPr>
                <w:color w:val="auto"/>
                <w:sz w:val="24"/>
                <w:szCs w:val="24"/>
                <w:lang w:val="uk-UA"/>
              </w:rPr>
              <w:t>вул. О. Деяка (колишня Радянська), вул. Київська, пл. Кошута (колишня пл. Карла Маркса), вул. Маяковського, вул. Столична (колишня Московська), вул. Леонтовича, вул. Робітнича, вул. Шевченка, вул. Шапошнікова.</w:t>
            </w:r>
          </w:p>
          <w:p w:rsidR="006E677C" w:rsidRPr="00B85D2A"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sz w:val="24"/>
                <w:szCs w:val="24"/>
              </w:rPr>
              <w:t xml:space="preserve">Провадження виробничої діяльності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46,71</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35,03</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23,35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sz w:val="24"/>
                <w:szCs w:val="24"/>
              </w:rPr>
              <w:t xml:space="preserve">Інша комерційна діяльність </w:t>
            </w:r>
          </w:p>
          <w:p w:rsidR="006E677C" w:rsidRPr="005A2EBE" w:rsidRDefault="006E677C" w:rsidP="00054FD4">
            <w:pPr>
              <w:jc w:val="center"/>
              <w:rPr>
                <w:sz w:val="24"/>
                <w:szCs w:val="24"/>
              </w:rPr>
            </w:pPr>
            <w:r w:rsidRPr="005A2EBE">
              <w:rPr>
                <w:sz w:val="24"/>
                <w:szCs w:val="24"/>
              </w:rPr>
              <w:t>(коефіцієнт 3)</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70,07</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52,55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35,03</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23,35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17,52</w:t>
            </w:r>
          </w:p>
        </w:tc>
      </w:tr>
      <w:tr w:rsidR="006E677C" w:rsidRPr="005A2EBE" w:rsidTr="00054FD4">
        <w:trPr>
          <w:trHeight w:val="413"/>
        </w:trPr>
        <w:tc>
          <w:tcPr>
            <w:tcW w:w="360" w:type="dxa"/>
            <w:vMerge/>
          </w:tcPr>
          <w:p w:rsidR="006E677C" w:rsidRPr="004D3A30" w:rsidRDefault="006E677C" w:rsidP="00054FD4">
            <w:pPr>
              <w:jc w:val="center"/>
            </w:pPr>
          </w:p>
        </w:tc>
        <w:tc>
          <w:tcPr>
            <w:tcW w:w="5940" w:type="dxa"/>
            <w:vMerge/>
          </w:tcPr>
          <w:p w:rsidR="006E677C" w:rsidRPr="00B85D2A"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11,68</w:t>
            </w:r>
          </w:p>
        </w:tc>
      </w:tr>
      <w:tr w:rsidR="006E677C" w:rsidRPr="005A2EBE" w:rsidTr="00054FD4">
        <w:tc>
          <w:tcPr>
            <w:tcW w:w="360" w:type="dxa"/>
            <w:vMerge w:val="restart"/>
          </w:tcPr>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p>
          <w:p w:rsidR="006E677C" w:rsidRPr="004D3A30" w:rsidRDefault="006E677C" w:rsidP="00054FD4">
            <w:pPr>
              <w:jc w:val="center"/>
            </w:pPr>
            <w:r w:rsidRPr="004D3A30">
              <w:t>3</w:t>
            </w:r>
          </w:p>
        </w:tc>
        <w:tc>
          <w:tcPr>
            <w:tcW w:w="5940" w:type="dxa"/>
            <w:vMerge w:val="restart"/>
          </w:tcPr>
          <w:p w:rsidR="006E677C" w:rsidRPr="00B85D2A" w:rsidRDefault="006E677C" w:rsidP="00054FD4">
            <w:pPr>
              <w:jc w:val="center"/>
              <w:rPr>
                <w:sz w:val="24"/>
                <w:szCs w:val="24"/>
              </w:rPr>
            </w:pPr>
            <w:r w:rsidRPr="00B85D2A">
              <w:rPr>
                <w:b/>
                <w:sz w:val="24"/>
                <w:szCs w:val="24"/>
              </w:rPr>
              <w:t>Зона розміщена далеко від центру м. Тячів, а також села Тячівка, Руське Поле, Лази та Округла</w:t>
            </w:r>
          </w:p>
          <w:p w:rsidR="006E677C" w:rsidRPr="00B85D2A" w:rsidRDefault="006E677C" w:rsidP="00054FD4">
            <w:pPr>
              <w:jc w:val="center"/>
              <w:rPr>
                <w:sz w:val="24"/>
                <w:szCs w:val="24"/>
              </w:rPr>
            </w:pPr>
            <w:r w:rsidRPr="00B85D2A">
              <w:rPr>
                <w:sz w:val="24"/>
                <w:szCs w:val="24"/>
              </w:rPr>
              <w:t>(коефіцієнт 1,0)</w:t>
            </w:r>
          </w:p>
          <w:p w:rsidR="006E677C" w:rsidRPr="00B85D2A" w:rsidRDefault="006E677C" w:rsidP="00054FD4">
            <w:pPr>
              <w:pStyle w:val="HTMLPreformatted"/>
              <w:jc w:val="both"/>
              <w:rPr>
                <w:b/>
                <w:color w:val="auto"/>
                <w:sz w:val="24"/>
                <w:szCs w:val="24"/>
              </w:rPr>
            </w:pPr>
            <w:r w:rsidRPr="00896495">
              <w:rPr>
                <w:sz w:val="24"/>
                <w:szCs w:val="24"/>
                <w:lang w:val="uk-UA"/>
              </w:rPr>
              <w:t xml:space="preserve">вул. Бажана, вул. Бардіївська, вул. </w:t>
            </w:r>
            <w:r w:rsidRPr="00B85D2A">
              <w:rPr>
                <w:sz w:val="24"/>
                <w:szCs w:val="24"/>
              </w:rPr>
              <w:t xml:space="preserve">Бартокі, вул. Берегівська, пров. Берегівський, вул. Березова, вул. Бокшая (колишня 60 років СРСР), вул. Борканюка, вул. Будівельників, пров. Будівельників, вул. Бучанська, (колишня Дзержинського), вул. Вакарова, вул. Вербова, вул. Виноградівська, вул. Вишнева, вул. Волошина, вул. Горького, (колишня Жданова), вул. Грушевського, вул. Джерельна, пров. Джерельний, вул. Довженка, вул. Драгоманова, пров. Драгоманова, вул. Духновича, вул. Ерделі (колишня Ленінградська), вул. Заводська, вул. Закарпатська, вул. Заньковецької, вул. Зелена, вул. Каштанова, вул. Комсомольска, вул. Корольова, вул. Корятовича, вул. Котляревського, пров. Котляревського, вул. Коцюбинського, вул. Крайня, вул. Кубинця, вул. Кутузова, вул. Лазівська, пров. Лазівський, вул. Левицького, вул. Л.Українки, вул. Липова, вул. Листопада, вул. Лісова, вул. Локоти, вул. Гетьмана Мазепи, (колишня Свердлова), вул. Матросова, вул. Митна, вул. Гвардійська (колишня Молодогвардійська), вул. Ярослава Мудрого (колишня Куйбишева), вул. Мукачівська, вул. Мункачі, вул. Народна, пров. Народний, вул. Партизанська, вул. Петефі, вул. Полуботка,  вул. Прикордонна, вул. Ракоці, вул. Рахівська, вул. Рильського, вул. Річна, вул. Сагайдачного, вул. Севастопольська, вул. Словянська, вул. Сосюри, пров. Сосюри, вул. Спортивна, вул. Стефаника, вул. Суворова, вул. Тиха, вул. Тичини, Толстого, вул. Тополева, вул. Травнева, вул. Тупикова, вул. Ужгородська, вул. Фермерська, вул. Б.Хмельницького, вул. Чайковського вул. Чорновола, (колишня 50 років Жовтня), вул. Яблунева, вул.30 років Перемоги, пров. 30 років Перемоги, вул.40 років Перемоги </w:t>
            </w:r>
            <w:r w:rsidRPr="00B85D2A">
              <w:rPr>
                <w:b/>
                <w:sz w:val="24"/>
                <w:szCs w:val="24"/>
              </w:rPr>
              <w:t>та інші вулиці міста, с</w:t>
            </w:r>
            <w:r>
              <w:rPr>
                <w:b/>
                <w:sz w:val="24"/>
                <w:szCs w:val="24"/>
                <w:lang w:val="uk-UA"/>
              </w:rPr>
              <w:t>іл</w:t>
            </w:r>
            <w:r w:rsidRPr="00B85D2A">
              <w:rPr>
                <w:b/>
                <w:sz w:val="24"/>
                <w:szCs w:val="24"/>
              </w:rPr>
              <w:t xml:space="preserve"> Тячівка, Руське </w:t>
            </w:r>
            <w:r>
              <w:rPr>
                <w:b/>
                <w:sz w:val="24"/>
                <w:szCs w:val="24"/>
                <w:lang w:val="uk-UA"/>
              </w:rPr>
              <w:t>П</w:t>
            </w:r>
            <w:r w:rsidRPr="00B85D2A">
              <w:rPr>
                <w:b/>
                <w:sz w:val="24"/>
                <w:szCs w:val="24"/>
              </w:rPr>
              <w:t>оле, Лази та Округла.</w:t>
            </w:r>
          </w:p>
        </w:tc>
        <w:tc>
          <w:tcPr>
            <w:tcW w:w="2160" w:type="dxa"/>
            <w:vMerge w:val="restart"/>
          </w:tcPr>
          <w:p w:rsidR="006E677C" w:rsidRPr="005A2EBE" w:rsidRDefault="006E677C" w:rsidP="00054FD4">
            <w:pPr>
              <w:jc w:val="center"/>
              <w:rPr>
                <w:sz w:val="24"/>
                <w:szCs w:val="24"/>
              </w:rPr>
            </w:pPr>
            <w:r w:rsidRPr="005A2EBE">
              <w:rPr>
                <w:sz w:val="24"/>
                <w:szCs w:val="24"/>
              </w:rPr>
              <w:t xml:space="preserve">Провадження виробничої діяльності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31,14</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23,35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15,57</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sz w:val="24"/>
                <w:szCs w:val="24"/>
              </w:rPr>
              <w:t xml:space="preserve">Інша комерційна діяльність </w:t>
            </w:r>
          </w:p>
          <w:p w:rsidR="006E677C" w:rsidRPr="005A2EBE" w:rsidRDefault="006E677C" w:rsidP="00054FD4">
            <w:pPr>
              <w:rPr>
                <w:sz w:val="24"/>
                <w:szCs w:val="24"/>
              </w:rPr>
            </w:pP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46,71</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35,03</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23,35</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val="restart"/>
          </w:tcPr>
          <w:p w:rsidR="006E677C" w:rsidRPr="005A2EBE" w:rsidRDefault="006E677C" w:rsidP="00054FD4">
            <w:pPr>
              <w:jc w:val="center"/>
              <w:rPr>
                <w:sz w:val="24"/>
                <w:szCs w:val="24"/>
              </w:rPr>
            </w:pPr>
            <w:r w:rsidRPr="005A2EBE">
              <w:rPr>
                <w:color w:val="000000"/>
                <w:sz w:val="24"/>
                <w:szCs w:val="24"/>
                <w:lang w:val="ru-RU"/>
              </w:rPr>
              <w:t xml:space="preserve">Некомерційної діяльності, у тому числі для проживання фізичних осіб </w:t>
            </w:r>
          </w:p>
        </w:tc>
        <w:tc>
          <w:tcPr>
            <w:tcW w:w="1800" w:type="dxa"/>
          </w:tcPr>
          <w:p w:rsidR="006E677C" w:rsidRPr="005A2EBE" w:rsidRDefault="006E677C" w:rsidP="00054FD4">
            <w:pPr>
              <w:jc w:val="center"/>
              <w:rPr>
                <w:sz w:val="24"/>
                <w:szCs w:val="24"/>
              </w:rPr>
            </w:pPr>
            <w:r w:rsidRPr="005A2EBE">
              <w:rPr>
                <w:sz w:val="24"/>
                <w:szCs w:val="24"/>
              </w:rPr>
              <w:t xml:space="preserve">добрий </w:t>
            </w:r>
          </w:p>
        </w:tc>
        <w:tc>
          <w:tcPr>
            <w:tcW w:w="900" w:type="dxa"/>
          </w:tcPr>
          <w:p w:rsidR="006E677C" w:rsidRPr="00297849" w:rsidRDefault="006E677C" w:rsidP="00054FD4">
            <w:pPr>
              <w:jc w:val="center"/>
              <w:rPr>
                <w:b/>
              </w:rPr>
            </w:pPr>
            <w:r>
              <w:rPr>
                <w:b/>
              </w:rPr>
              <w:t>15,57</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lang w:val="ru-RU"/>
              </w:rPr>
            </w:pPr>
            <w:r w:rsidRPr="005A2EBE">
              <w:rPr>
                <w:sz w:val="24"/>
                <w:szCs w:val="24"/>
              </w:rPr>
              <w:t xml:space="preserve">задовільний </w:t>
            </w:r>
          </w:p>
        </w:tc>
        <w:tc>
          <w:tcPr>
            <w:tcW w:w="900" w:type="dxa"/>
          </w:tcPr>
          <w:p w:rsidR="006E677C" w:rsidRPr="00297849" w:rsidRDefault="006E677C" w:rsidP="00054FD4">
            <w:pPr>
              <w:jc w:val="center"/>
              <w:rPr>
                <w:b/>
              </w:rPr>
            </w:pPr>
            <w:r>
              <w:rPr>
                <w:b/>
              </w:rPr>
              <w:t>11,68</w:t>
            </w:r>
          </w:p>
        </w:tc>
      </w:tr>
      <w:tr w:rsidR="006E677C" w:rsidRPr="005A2EBE" w:rsidTr="00054FD4">
        <w:tc>
          <w:tcPr>
            <w:tcW w:w="360" w:type="dxa"/>
            <w:vMerge/>
          </w:tcPr>
          <w:p w:rsidR="006E677C" w:rsidRPr="004D3A30" w:rsidRDefault="006E677C" w:rsidP="00054FD4">
            <w:pPr>
              <w:jc w:val="center"/>
            </w:pPr>
          </w:p>
        </w:tc>
        <w:tc>
          <w:tcPr>
            <w:tcW w:w="5940" w:type="dxa"/>
            <w:vMerge/>
          </w:tcPr>
          <w:p w:rsidR="006E677C" w:rsidRPr="005A2EBE" w:rsidRDefault="006E677C" w:rsidP="00054FD4">
            <w:pPr>
              <w:rPr>
                <w:sz w:val="24"/>
                <w:szCs w:val="24"/>
              </w:rPr>
            </w:pPr>
          </w:p>
        </w:tc>
        <w:tc>
          <w:tcPr>
            <w:tcW w:w="2160" w:type="dxa"/>
            <w:vMerge/>
          </w:tcPr>
          <w:p w:rsidR="006E677C" w:rsidRPr="005A2EBE" w:rsidRDefault="006E677C" w:rsidP="00054FD4">
            <w:pPr>
              <w:jc w:val="center"/>
              <w:rPr>
                <w:color w:val="000000"/>
                <w:sz w:val="24"/>
                <w:szCs w:val="24"/>
                <w:lang w:val="ru-RU"/>
              </w:rPr>
            </w:pPr>
          </w:p>
        </w:tc>
        <w:tc>
          <w:tcPr>
            <w:tcW w:w="1800" w:type="dxa"/>
          </w:tcPr>
          <w:p w:rsidR="006E677C" w:rsidRPr="005A2EBE" w:rsidRDefault="006E677C" w:rsidP="00054FD4">
            <w:pPr>
              <w:jc w:val="center"/>
              <w:rPr>
                <w:sz w:val="24"/>
                <w:szCs w:val="24"/>
              </w:rPr>
            </w:pPr>
            <w:r w:rsidRPr="005A2EBE">
              <w:rPr>
                <w:sz w:val="24"/>
                <w:szCs w:val="24"/>
              </w:rPr>
              <w:t xml:space="preserve">незадовільний </w:t>
            </w:r>
          </w:p>
        </w:tc>
        <w:tc>
          <w:tcPr>
            <w:tcW w:w="900" w:type="dxa"/>
          </w:tcPr>
          <w:p w:rsidR="006E677C" w:rsidRPr="00297849" w:rsidRDefault="006E677C" w:rsidP="00054FD4">
            <w:pPr>
              <w:jc w:val="center"/>
              <w:rPr>
                <w:b/>
              </w:rPr>
            </w:pPr>
            <w:r>
              <w:rPr>
                <w:b/>
              </w:rPr>
              <w:t>7,79</w:t>
            </w:r>
          </w:p>
        </w:tc>
      </w:tr>
    </w:tbl>
    <w:p w:rsidR="006E677C" w:rsidRPr="00BE75D9" w:rsidRDefault="006E677C" w:rsidP="00E80D45"/>
    <w:p w:rsidR="006E677C" w:rsidRDefault="006E677C" w:rsidP="00E80D45">
      <w:pPr>
        <w:rPr>
          <w:sz w:val="24"/>
          <w:szCs w:val="24"/>
        </w:rPr>
      </w:pPr>
    </w:p>
    <w:p w:rsidR="006E677C" w:rsidRPr="00234C8E" w:rsidRDefault="006E677C" w:rsidP="00E80D45">
      <w:pPr>
        <w:rPr>
          <w:b/>
          <w:sz w:val="24"/>
          <w:szCs w:val="24"/>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Default="006E677C" w:rsidP="00E80D45">
      <w:pPr>
        <w:jc w:val="both"/>
        <w:rPr>
          <w:color w:val="262626"/>
        </w:rPr>
      </w:pPr>
    </w:p>
    <w:p w:rsidR="006E677C" w:rsidRPr="00026A84" w:rsidRDefault="006E677C" w:rsidP="00E80D45">
      <w:pPr>
        <w:pStyle w:val="HTMLPreformatted"/>
        <w:jc w:val="both"/>
        <w:rPr>
          <w:sz w:val="28"/>
          <w:szCs w:val="28"/>
          <w:lang w:val="uk-UA"/>
        </w:rPr>
      </w:pPr>
      <w:bookmarkStart w:id="0" w:name="_GoBack"/>
      <w:bookmarkEnd w:id="0"/>
    </w:p>
    <w:sectPr w:rsidR="006E677C" w:rsidRPr="00026A84" w:rsidSect="00200F99">
      <w:pgSz w:w="11906" w:h="16838"/>
      <w:pgMar w:top="360" w:right="424" w:bottom="36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77C" w:rsidRDefault="006E677C" w:rsidP="0085283D">
      <w:r>
        <w:separator/>
      </w:r>
    </w:p>
  </w:endnote>
  <w:endnote w:type="continuationSeparator" w:id="1">
    <w:p w:rsidR="006E677C" w:rsidRDefault="006E677C" w:rsidP="008528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77C" w:rsidRDefault="006E677C" w:rsidP="0085283D">
      <w:r>
        <w:separator/>
      </w:r>
    </w:p>
  </w:footnote>
  <w:footnote w:type="continuationSeparator" w:id="1">
    <w:p w:rsidR="006E677C" w:rsidRDefault="006E677C" w:rsidP="008528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066"/>
    <w:rsid w:val="00014B71"/>
    <w:rsid w:val="00022464"/>
    <w:rsid w:val="00026A84"/>
    <w:rsid w:val="00054FD4"/>
    <w:rsid w:val="000C70E0"/>
    <w:rsid w:val="00101728"/>
    <w:rsid w:val="00183CB3"/>
    <w:rsid w:val="001869F4"/>
    <w:rsid w:val="00186ABB"/>
    <w:rsid w:val="00193ABF"/>
    <w:rsid w:val="001A41BC"/>
    <w:rsid w:val="001B47F8"/>
    <w:rsid w:val="001D3A9B"/>
    <w:rsid w:val="00200F99"/>
    <w:rsid w:val="0021063C"/>
    <w:rsid w:val="00234C8E"/>
    <w:rsid w:val="00242FB8"/>
    <w:rsid w:val="00296443"/>
    <w:rsid w:val="00297849"/>
    <w:rsid w:val="002D7729"/>
    <w:rsid w:val="002E0B76"/>
    <w:rsid w:val="00340468"/>
    <w:rsid w:val="00344897"/>
    <w:rsid w:val="003912F0"/>
    <w:rsid w:val="00391CC5"/>
    <w:rsid w:val="003B6F32"/>
    <w:rsid w:val="003F6C39"/>
    <w:rsid w:val="004956D8"/>
    <w:rsid w:val="004D3A30"/>
    <w:rsid w:val="00511757"/>
    <w:rsid w:val="005A2EBE"/>
    <w:rsid w:val="005E79EF"/>
    <w:rsid w:val="00622EA5"/>
    <w:rsid w:val="00645FC2"/>
    <w:rsid w:val="00651978"/>
    <w:rsid w:val="006553F8"/>
    <w:rsid w:val="006E677C"/>
    <w:rsid w:val="00714346"/>
    <w:rsid w:val="00722DE5"/>
    <w:rsid w:val="00754458"/>
    <w:rsid w:val="007D00A6"/>
    <w:rsid w:val="007D0354"/>
    <w:rsid w:val="007F1F6E"/>
    <w:rsid w:val="0085283D"/>
    <w:rsid w:val="00855C3D"/>
    <w:rsid w:val="00881379"/>
    <w:rsid w:val="00896495"/>
    <w:rsid w:val="008C6ECC"/>
    <w:rsid w:val="008D42CD"/>
    <w:rsid w:val="008E32B8"/>
    <w:rsid w:val="00957837"/>
    <w:rsid w:val="009D1A59"/>
    <w:rsid w:val="00A86159"/>
    <w:rsid w:val="00A91066"/>
    <w:rsid w:val="00AF0282"/>
    <w:rsid w:val="00AF68A9"/>
    <w:rsid w:val="00B13FF8"/>
    <w:rsid w:val="00B47A7F"/>
    <w:rsid w:val="00B85D2A"/>
    <w:rsid w:val="00BB7176"/>
    <w:rsid w:val="00BD79D7"/>
    <w:rsid w:val="00BE353F"/>
    <w:rsid w:val="00BE75D9"/>
    <w:rsid w:val="00BF4BFC"/>
    <w:rsid w:val="00C70277"/>
    <w:rsid w:val="00CC27F9"/>
    <w:rsid w:val="00CD4EFE"/>
    <w:rsid w:val="00CE76BF"/>
    <w:rsid w:val="00D0144F"/>
    <w:rsid w:val="00D46981"/>
    <w:rsid w:val="00D57F84"/>
    <w:rsid w:val="00D8337D"/>
    <w:rsid w:val="00D97BA1"/>
    <w:rsid w:val="00E1308C"/>
    <w:rsid w:val="00E21713"/>
    <w:rsid w:val="00E80D45"/>
    <w:rsid w:val="00E87257"/>
    <w:rsid w:val="00EA2070"/>
    <w:rsid w:val="00F21724"/>
    <w:rsid w:val="00FC0E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D45"/>
    <w:rPr>
      <w:rFonts w:ascii="Times New Roman" w:hAnsi="Times New Roman"/>
      <w:sz w:val="20"/>
      <w:szCs w:val="20"/>
      <w:lang w:val="uk-UA"/>
    </w:rPr>
  </w:style>
  <w:style w:type="paragraph" w:styleId="Heading1">
    <w:name w:val="heading 1"/>
    <w:basedOn w:val="Normal"/>
    <w:next w:val="Normal"/>
    <w:link w:val="Heading1Char"/>
    <w:uiPriority w:val="99"/>
    <w:qFormat/>
    <w:locked/>
    <w:rsid w:val="00200F99"/>
    <w:pPr>
      <w:keepNext/>
      <w:jc w:val="center"/>
      <w:outlineLvl w:val="0"/>
    </w:pPr>
    <w:rPr>
      <w:rFonts w:eastAsia="Times New Roman"/>
      <w:b/>
      <w:bCs/>
      <w:sz w:val="28"/>
      <w:szCs w:val="24"/>
    </w:rPr>
  </w:style>
  <w:style w:type="paragraph" w:styleId="Heading3">
    <w:name w:val="heading 3"/>
    <w:basedOn w:val="Normal"/>
    <w:next w:val="Normal"/>
    <w:link w:val="Heading3Char"/>
    <w:uiPriority w:val="99"/>
    <w:qFormat/>
    <w:locked/>
    <w:rsid w:val="00200F99"/>
    <w:pPr>
      <w:keepNext/>
      <w:jc w:val="center"/>
      <w:outlineLvl w:val="2"/>
    </w:pPr>
    <w:rPr>
      <w:rFonts w:eastAsia="Times New Roman"/>
      <w:b/>
      <w:bCs/>
      <w:sz w:val="36"/>
      <w:szCs w:val="24"/>
    </w:rPr>
  </w:style>
  <w:style w:type="paragraph" w:styleId="Heading4">
    <w:name w:val="heading 4"/>
    <w:basedOn w:val="Normal"/>
    <w:next w:val="Normal"/>
    <w:link w:val="Heading4Char"/>
    <w:uiPriority w:val="99"/>
    <w:qFormat/>
    <w:locked/>
    <w:rsid w:val="00200F99"/>
    <w:pPr>
      <w:keepNext/>
      <w:outlineLvl w:val="3"/>
    </w:pPr>
    <w:rPr>
      <w:rFonts w:eastAsia="Times New Roman"/>
      <w:b/>
      <w:bCs/>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0F99"/>
    <w:rPr>
      <w:rFonts w:eastAsia="Times New Roman" w:cs="Times New Roman"/>
      <w:b/>
      <w:bCs/>
      <w:sz w:val="24"/>
      <w:szCs w:val="24"/>
      <w:lang w:val="uk-UA" w:eastAsia="ru-RU" w:bidi="ar-SA"/>
    </w:rPr>
  </w:style>
  <w:style w:type="character" w:customStyle="1" w:styleId="Heading3Char">
    <w:name w:val="Heading 3 Char"/>
    <w:basedOn w:val="DefaultParagraphFont"/>
    <w:link w:val="Heading3"/>
    <w:uiPriority w:val="99"/>
    <w:locked/>
    <w:rsid w:val="00200F99"/>
    <w:rPr>
      <w:rFonts w:eastAsia="Times New Roman" w:cs="Times New Roman"/>
      <w:b/>
      <w:bCs/>
      <w:sz w:val="24"/>
      <w:szCs w:val="24"/>
      <w:lang w:val="uk-UA" w:eastAsia="ru-RU" w:bidi="ar-SA"/>
    </w:rPr>
  </w:style>
  <w:style w:type="character" w:customStyle="1" w:styleId="Heading4Char">
    <w:name w:val="Heading 4 Char"/>
    <w:basedOn w:val="DefaultParagraphFont"/>
    <w:link w:val="Heading4"/>
    <w:uiPriority w:val="99"/>
    <w:locked/>
    <w:rsid w:val="00200F99"/>
    <w:rPr>
      <w:rFonts w:eastAsia="Times New Roman" w:cs="Times New Roman"/>
      <w:b/>
      <w:bCs/>
      <w:sz w:val="24"/>
      <w:szCs w:val="24"/>
      <w:lang w:val="uk-UA" w:eastAsia="ru-RU" w:bidi="ar-SA"/>
    </w:rPr>
  </w:style>
  <w:style w:type="character" w:styleId="Hyperlink">
    <w:name w:val="Hyperlink"/>
    <w:basedOn w:val="DefaultParagraphFont"/>
    <w:uiPriority w:val="99"/>
    <w:rsid w:val="00E80D45"/>
    <w:rPr>
      <w:rFonts w:cs="Times New Roman"/>
      <w:color w:val="0000FF"/>
      <w:u w:val="single"/>
    </w:rPr>
  </w:style>
  <w:style w:type="paragraph" w:styleId="HTMLPreformatted">
    <w:name w:val="HTML Preformatted"/>
    <w:basedOn w:val="Normal"/>
    <w:link w:val="HTMLPreformattedChar"/>
    <w:uiPriority w:val="99"/>
    <w:rsid w:val="00E80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000000"/>
      <w:sz w:val="23"/>
      <w:lang w:val="ru-RU"/>
    </w:rPr>
  </w:style>
  <w:style w:type="character" w:customStyle="1" w:styleId="HTMLPreformattedChar">
    <w:name w:val="HTML Preformatted Char"/>
    <w:basedOn w:val="DefaultParagraphFont"/>
    <w:link w:val="HTMLPreformatted"/>
    <w:uiPriority w:val="99"/>
    <w:locked/>
    <w:rsid w:val="00E80D45"/>
    <w:rPr>
      <w:rFonts w:ascii="Times New Roman" w:hAnsi="Times New Roman" w:cs="Times New Roman"/>
      <w:color w:val="000000"/>
      <w:sz w:val="20"/>
      <w:szCs w:val="20"/>
      <w:lang w:val="ru-RU" w:eastAsia="ru-RU"/>
    </w:rPr>
  </w:style>
  <w:style w:type="paragraph" w:styleId="Footer">
    <w:name w:val="footer"/>
    <w:basedOn w:val="Normal"/>
    <w:link w:val="FooterChar"/>
    <w:uiPriority w:val="99"/>
    <w:rsid w:val="00E80D45"/>
    <w:pPr>
      <w:widowControl w:val="0"/>
      <w:tabs>
        <w:tab w:val="center" w:pos="4677"/>
        <w:tab w:val="right" w:pos="9355"/>
      </w:tabs>
    </w:pPr>
    <w:rPr>
      <w:b/>
      <w:lang w:val="ru-RU"/>
    </w:rPr>
  </w:style>
  <w:style w:type="character" w:customStyle="1" w:styleId="FooterChar">
    <w:name w:val="Footer Char"/>
    <w:basedOn w:val="DefaultParagraphFont"/>
    <w:link w:val="Footer"/>
    <w:uiPriority w:val="99"/>
    <w:locked/>
    <w:rsid w:val="00E80D45"/>
    <w:rPr>
      <w:rFonts w:ascii="Times New Roman" w:hAnsi="Times New Roman" w:cs="Times New Roman"/>
      <w:b/>
      <w:sz w:val="20"/>
      <w:szCs w:val="20"/>
      <w:lang w:val="ru-RU" w:eastAsia="ru-RU"/>
    </w:rPr>
  </w:style>
  <w:style w:type="paragraph" w:styleId="Header">
    <w:name w:val="header"/>
    <w:basedOn w:val="Normal"/>
    <w:link w:val="HeaderChar"/>
    <w:uiPriority w:val="99"/>
    <w:rsid w:val="00200F99"/>
    <w:pPr>
      <w:tabs>
        <w:tab w:val="center" w:pos="4677"/>
        <w:tab w:val="right" w:pos="9355"/>
      </w:tabs>
    </w:pPr>
  </w:style>
  <w:style w:type="character" w:customStyle="1" w:styleId="HeaderChar">
    <w:name w:val="Header Char"/>
    <w:basedOn w:val="DefaultParagraphFont"/>
    <w:link w:val="Header"/>
    <w:uiPriority w:val="99"/>
    <w:semiHidden/>
    <w:rsid w:val="00A06F29"/>
    <w:rPr>
      <w:rFonts w:ascii="Times New Roman" w:hAnsi="Times New Roman"/>
      <w:sz w:val="20"/>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yachiv.in.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www.tyachiv.in.ua" TargetMode="External"/><Relationship Id="rId5" Type="http://schemas.openxmlformats.org/officeDocument/2006/relationships/endnotes" Target="endnotes.xml"/><Relationship Id="rId10" Type="http://schemas.openxmlformats.org/officeDocument/2006/relationships/hyperlink" Target="http://www.tyachiv.in.ua/" TargetMode="Externa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4</Pages>
  <Words>1594</Words>
  <Characters>9086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user3344</cp:lastModifiedBy>
  <cp:revision>19</cp:revision>
  <cp:lastPrinted>2018-01-23T06:54:00Z</cp:lastPrinted>
  <dcterms:created xsi:type="dcterms:W3CDTF">2018-01-22T14:35:00Z</dcterms:created>
  <dcterms:modified xsi:type="dcterms:W3CDTF">2018-01-30T07:16:00Z</dcterms:modified>
</cp:coreProperties>
</file>