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4D" w:rsidRPr="00DB4B4A" w:rsidRDefault="00F12F4D" w:rsidP="00951F5A">
      <w:r>
        <w:t xml:space="preserve">                                                                         </w:t>
      </w:r>
      <w:r w:rsidRPr="00795E5E">
        <w:rPr>
          <w:b/>
          <w:lang w:val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5.25pt" o:ole="" fillcolor="window">
            <v:imagedata r:id="rId7" o:title=""/>
          </v:shape>
          <o:OLEObject Type="Embed" ProgID="Word.Picture.8" ShapeID="_x0000_i1025" DrawAspect="Content" ObjectID="_1588686482" r:id="rId8"/>
        </w:object>
      </w:r>
      <w:r>
        <w:t xml:space="preserve">                         </w:t>
      </w:r>
    </w:p>
    <w:p w:rsidR="00F12F4D" w:rsidRPr="00DA2CEF" w:rsidRDefault="00F12F4D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F12F4D" w:rsidRPr="00DA2CEF" w:rsidRDefault="00F12F4D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F12F4D" w:rsidRDefault="00F12F4D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третя (позачергова)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F12F4D" w:rsidRDefault="00F12F4D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Друге пленарне засідання</w:t>
      </w:r>
    </w:p>
    <w:p w:rsidR="00F12F4D" w:rsidRDefault="00F12F4D" w:rsidP="004F5542">
      <w:pPr>
        <w:pStyle w:val="Heading3"/>
        <w:tabs>
          <w:tab w:val="left" w:pos="1800"/>
        </w:tabs>
        <w:rPr>
          <w:sz w:val="28"/>
          <w:szCs w:val="28"/>
        </w:rPr>
      </w:pPr>
      <w:r w:rsidRPr="00BD6377">
        <w:rPr>
          <w:sz w:val="28"/>
          <w:szCs w:val="28"/>
        </w:rPr>
        <w:t>Р  І  Ш  Е  Н  Н  Я</w:t>
      </w:r>
    </w:p>
    <w:p w:rsidR="00F12F4D" w:rsidRPr="00BD6377" w:rsidRDefault="00F12F4D" w:rsidP="00BD6377"/>
    <w:p w:rsidR="00F12F4D" w:rsidRPr="00BD6377" w:rsidRDefault="00F12F4D" w:rsidP="004F5542">
      <w:pPr>
        <w:pStyle w:val="Heading4"/>
        <w:tabs>
          <w:tab w:val="left" w:pos="180"/>
        </w:tabs>
        <w:ind w:left="180" w:hanging="180"/>
        <w:jc w:val="both"/>
        <w:rPr>
          <w:szCs w:val="28"/>
        </w:rPr>
      </w:pPr>
      <w:r w:rsidRPr="00BD6377">
        <w:rPr>
          <w:szCs w:val="28"/>
        </w:rPr>
        <w:t>від 24 травня 2018  року  №  2512</w:t>
      </w:r>
    </w:p>
    <w:p w:rsidR="00F12F4D" w:rsidRPr="00BD6377" w:rsidRDefault="00F12F4D" w:rsidP="004F5542">
      <w:pPr>
        <w:pStyle w:val="Heading4"/>
        <w:tabs>
          <w:tab w:val="left" w:pos="180"/>
        </w:tabs>
        <w:ind w:left="180" w:hanging="180"/>
        <w:jc w:val="both"/>
        <w:rPr>
          <w:szCs w:val="28"/>
        </w:rPr>
      </w:pPr>
      <w:r w:rsidRPr="00BD6377">
        <w:rPr>
          <w:szCs w:val="28"/>
        </w:rPr>
        <w:t>м. Тячів</w:t>
      </w:r>
    </w:p>
    <w:p w:rsidR="00F12F4D" w:rsidRPr="00B32918" w:rsidRDefault="00F12F4D" w:rsidP="00F12F11">
      <w:pPr>
        <w:rPr>
          <w:b/>
        </w:rPr>
      </w:pPr>
    </w:p>
    <w:tbl>
      <w:tblPr>
        <w:tblW w:w="8305" w:type="dxa"/>
        <w:tblInd w:w="-142" w:type="dxa"/>
        <w:tblLook w:val="01E0"/>
      </w:tblPr>
      <w:tblGrid>
        <w:gridCol w:w="5470"/>
        <w:gridCol w:w="2835"/>
      </w:tblGrid>
      <w:tr w:rsidR="00F12F4D" w:rsidRPr="00B32918" w:rsidTr="00BA73AF">
        <w:tc>
          <w:tcPr>
            <w:tcW w:w="5470" w:type="dxa"/>
          </w:tcPr>
          <w:p w:rsidR="00F12F4D" w:rsidRDefault="00F12F4D" w:rsidP="00035E4A">
            <w:pPr>
              <w:tabs>
                <w:tab w:val="left" w:pos="3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BD6377">
              <w:rPr>
                <w:b/>
                <w:bCs/>
                <w:sz w:val="28"/>
                <w:szCs w:val="28"/>
              </w:rPr>
              <w:t>Про стан роботи по передачі із спільної власності територіальної громади району у комунальну власність міської об’єднаної територіальної громади житлового фонду, систем водопроводу, каналізації та транспортних засобів по обслуговуванню цих об’єктів.</w:t>
            </w:r>
          </w:p>
          <w:p w:rsidR="00F12F4D" w:rsidRPr="00BD6377" w:rsidRDefault="00F12F4D" w:rsidP="00035E4A">
            <w:pPr>
              <w:tabs>
                <w:tab w:val="left" w:pos="3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F12F4D" w:rsidRPr="00B32918" w:rsidRDefault="00F12F4D" w:rsidP="005339FA">
            <w:pPr>
              <w:tabs>
                <w:tab w:val="left" w:pos="180"/>
              </w:tabs>
              <w:ind w:left="180" w:hanging="180"/>
              <w:jc w:val="both"/>
              <w:rPr>
                <w:b/>
                <w:bCs/>
              </w:rPr>
            </w:pPr>
          </w:p>
        </w:tc>
      </w:tr>
    </w:tbl>
    <w:p w:rsidR="00F12F4D" w:rsidRPr="00936115" w:rsidRDefault="00F12F4D" w:rsidP="004F5542">
      <w:pPr>
        <w:pStyle w:val="ListParagraph"/>
        <w:ind w:left="0" w:firstLine="708"/>
        <w:jc w:val="both"/>
        <w:rPr>
          <w:sz w:val="28"/>
        </w:rPr>
      </w:pPr>
      <w:r>
        <w:rPr>
          <w:bCs/>
          <w:sz w:val="28"/>
          <w:szCs w:val="28"/>
        </w:rPr>
        <w:t xml:space="preserve">Заслухавши інформацію про підсумки громадських слухань (протокол від 14 березня 2018 рік), прийняту на них ухвалу стосовно стану роботи по передачі із спільної власності територіальної громади району у комунальну власність міської об’єднаної територіальної громади житлового фонду, систем водопроводу, каналізації та транспортних засобів по обслуговуванню цих об’єктів, керуючись статтями 13 та 26 Закону України «Про місцеве самоврядування в Україні», </w:t>
      </w:r>
      <w:r w:rsidRPr="00936115">
        <w:rPr>
          <w:bCs/>
          <w:sz w:val="28"/>
        </w:rPr>
        <w:t>двадцять третя (позачергова) сесія сьомого скликання Тячівської міської ради</w:t>
      </w:r>
    </w:p>
    <w:p w:rsidR="00F12F4D" w:rsidRDefault="00F12F4D" w:rsidP="004F5542">
      <w:pPr>
        <w:ind w:right="-365"/>
        <w:jc w:val="center"/>
        <w:rPr>
          <w:b/>
          <w:bCs/>
          <w:sz w:val="28"/>
        </w:rPr>
      </w:pPr>
      <w:r w:rsidRPr="00936115">
        <w:rPr>
          <w:b/>
          <w:bCs/>
          <w:sz w:val="28"/>
        </w:rPr>
        <w:t>в и р і ш и л а :</w:t>
      </w:r>
    </w:p>
    <w:p w:rsidR="00F12F4D" w:rsidRDefault="00F12F4D" w:rsidP="0050141E">
      <w:pPr>
        <w:pStyle w:val="ListParagraph"/>
        <w:suppressAutoHyphens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Ухвалу громадських слухань від 14 березня 2018 року по розгляду питання «Про стан роботи по передачі із спільної власності територіальної громади району у комунальну власність міської об’єднаної територіальної громади житлового фонду, систем водопроводу, каналізації та транспортних засобів по обслуговуванню цих об’єктів» взяти до уваги.</w:t>
      </w:r>
    </w:p>
    <w:p w:rsidR="00F12F4D" w:rsidRDefault="00F12F4D" w:rsidP="0050141E">
      <w:pPr>
        <w:pStyle w:val="ListParagraph"/>
        <w:suppressAutoHyphens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Відмітити, що Тячівським ВУЖКГ до цього часу не виконано рішення Тячівської районної ради від 23 травня 2008 року № 320, від 10 травня 2009 року № 477 щодо передачі житлового фонду, інженерних споруд та транспортних засобів по обслуговуванню житла у власність Тячівської міської об’єднаної територіальної громади.</w:t>
      </w:r>
    </w:p>
    <w:p w:rsidR="00F12F4D" w:rsidRDefault="00F12F4D" w:rsidP="0050141E">
      <w:pPr>
        <w:pStyle w:val="ListParagraph"/>
        <w:suppressAutoHyphens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Просити Тячівську районну раду:</w:t>
      </w:r>
    </w:p>
    <w:p w:rsidR="00F12F4D" w:rsidRDefault="00F12F4D" w:rsidP="0050141E">
      <w:pPr>
        <w:pStyle w:val="ListParagraph"/>
        <w:suppressAutoHyphens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 Розглянути на черговій сесії Тячівської районної ради питання стану виконання прийнятих нею рішень щодо передачі майна у власність об’єднаної територіальної громади.</w:t>
      </w:r>
    </w:p>
    <w:p w:rsidR="00F12F4D" w:rsidRDefault="00F12F4D" w:rsidP="0050141E">
      <w:pPr>
        <w:pStyle w:val="ListParagraph"/>
        <w:suppressAutoHyphens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Дати оцінку роботи керівників Тячівського ВУЖКГ щодо незадовільного виконання рішень районної та міської рад, ухвал громадських слухань, що проводились в об’єднаній територіальній громаді  17 березня 2017 року та 14 березня 2018 року, по питанню передачі майна із спільної власності територіальної громади району у власність міської об’єднаної територіальної громади.</w:t>
      </w:r>
    </w:p>
    <w:p w:rsidR="00F12F4D" w:rsidRDefault="00F12F4D" w:rsidP="00126052">
      <w:pPr>
        <w:pStyle w:val="ListParagraph"/>
        <w:suppressAutoHyphens/>
        <w:ind w:left="0" w:firstLine="708"/>
        <w:jc w:val="both"/>
        <w:rPr>
          <w:bCs/>
          <w:sz w:val="28"/>
        </w:rPr>
      </w:pPr>
      <w:r>
        <w:rPr>
          <w:bCs/>
          <w:sz w:val="28"/>
        </w:rPr>
        <w:t xml:space="preserve">4. </w:t>
      </w:r>
      <w:r w:rsidRPr="00F12F11">
        <w:rPr>
          <w:bCs/>
          <w:sz w:val="28"/>
        </w:rPr>
        <w:t xml:space="preserve">Контроль за виконанням рішення покласти на депутатську комісію з питань </w:t>
      </w:r>
      <w:r w:rsidRPr="00F12F11">
        <w:rPr>
          <w:sz w:val="28"/>
        </w:rPr>
        <w:t>містобудування, будівництва, житлово-комунального господарства та комунальної власності</w:t>
      </w:r>
      <w:r w:rsidRPr="00F12F11">
        <w:rPr>
          <w:bCs/>
          <w:sz w:val="28"/>
        </w:rPr>
        <w:t xml:space="preserve"> (голова комісії Манзюк В.М.) та першого заступника міського голови Клебана І.Я.</w:t>
      </w:r>
    </w:p>
    <w:p w:rsidR="00F12F4D" w:rsidRDefault="00F12F4D" w:rsidP="00126052">
      <w:pPr>
        <w:pStyle w:val="ListParagraph"/>
        <w:suppressAutoHyphens/>
        <w:ind w:left="0" w:firstLine="708"/>
        <w:jc w:val="both"/>
        <w:rPr>
          <w:bCs/>
          <w:sz w:val="28"/>
        </w:rPr>
      </w:pPr>
    </w:p>
    <w:p w:rsidR="00F12F4D" w:rsidRDefault="00F12F4D" w:rsidP="004F5542">
      <w:pPr>
        <w:ind w:right="-365"/>
        <w:jc w:val="both"/>
        <w:rPr>
          <w:bCs/>
          <w:sz w:val="28"/>
        </w:rPr>
      </w:pPr>
    </w:p>
    <w:p w:rsidR="00F12F4D" w:rsidRDefault="00F12F4D" w:rsidP="0077731C">
      <w:pPr>
        <w:rPr>
          <w:color w:val="000000"/>
          <w:szCs w:val="28"/>
        </w:rPr>
      </w:pPr>
      <w:r w:rsidRPr="00BA73AF">
        <w:rPr>
          <w:bCs/>
          <w:sz w:val="28"/>
          <w:szCs w:val="28"/>
        </w:rPr>
        <w:t>Міський голова                                                                                         І.</w:t>
      </w:r>
      <w:r>
        <w:rPr>
          <w:bCs/>
          <w:sz w:val="28"/>
          <w:szCs w:val="28"/>
        </w:rPr>
        <w:t xml:space="preserve"> </w:t>
      </w:r>
      <w:r w:rsidRPr="00BA73AF">
        <w:rPr>
          <w:bCs/>
          <w:sz w:val="28"/>
          <w:szCs w:val="28"/>
        </w:rPr>
        <w:t>І. Ковач</w:t>
      </w:r>
      <w:r>
        <w:rPr>
          <w:color w:val="000000"/>
          <w:szCs w:val="28"/>
        </w:rPr>
        <w:t xml:space="preserve">            </w:t>
      </w: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color w:val="000000"/>
          <w:szCs w:val="28"/>
        </w:rPr>
      </w:pPr>
    </w:p>
    <w:p w:rsidR="00F12F4D" w:rsidRDefault="00F12F4D" w:rsidP="0077731C">
      <w:pPr>
        <w:ind w:left="3348" w:firstLine="192"/>
        <w:rPr>
          <w:noProof/>
          <w:color w:val="000000"/>
          <w:sz w:val="16"/>
          <w:szCs w:val="16"/>
        </w:rPr>
      </w:pPr>
      <w:r>
        <w:rPr>
          <w:color w:val="000000"/>
          <w:szCs w:val="28"/>
        </w:rPr>
        <w:t xml:space="preserve">              </w:t>
      </w:r>
      <w:r>
        <w:rPr>
          <w:color w:val="000000"/>
          <w:szCs w:val="28"/>
          <w:lang w:eastAsia="uk-UA"/>
        </w:rPr>
        <w:object w:dxaOrig="878" w:dyaOrig="1193">
          <v:shape id="_x0000_i1026" type="#_x0000_t75" style="width:42.75pt;height:60pt" o:ole="" fillcolor="window">
            <v:imagedata r:id="rId9" o:title=""/>
          </v:shape>
          <o:OLEObject Type="Embed" ProgID="Word.Picture.8" ShapeID="_x0000_i1026" DrawAspect="Content" ObjectID="_1588686483" r:id="rId10"/>
        </w:object>
      </w:r>
    </w:p>
    <w:p w:rsidR="00F12F4D" w:rsidRDefault="00F12F4D" w:rsidP="0077731C">
      <w:pPr>
        <w:pStyle w:val="HTMLPreformatted"/>
        <w:ind w:left="-720" w:right="-365"/>
        <w:jc w:val="center"/>
        <w:rPr>
          <w:rStyle w:val="HTMLTypewriter"/>
          <w:rFonts w:ascii="Times New Roman" w:hAnsi="Times New Roman"/>
          <w:b/>
          <w:bCs/>
          <w:sz w:val="36"/>
          <w:szCs w:val="36"/>
        </w:rPr>
      </w:pP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У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К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Р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А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Ї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Н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А</w:t>
      </w:r>
    </w:p>
    <w:p w:rsidR="00F12F4D" w:rsidRDefault="00F12F4D" w:rsidP="0077731C">
      <w:pPr>
        <w:pStyle w:val="HTMLPreformatted"/>
        <w:ind w:left="-720" w:right="-365"/>
        <w:jc w:val="center"/>
        <w:rPr>
          <w:rStyle w:val="HTMLTypewriter"/>
          <w:rFonts w:hAnsi="Times New Roman"/>
          <w:b/>
          <w:bCs/>
          <w:sz w:val="36"/>
          <w:szCs w:val="36"/>
          <w:lang w:val="uk-UA"/>
        </w:rPr>
      </w:pP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Т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Я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Ч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І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В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С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Ь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К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А</w:t>
      </w:r>
      <w:r>
        <w:rPr>
          <w:rStyle w:val="HTMLTypewriter"/>
          <w:rFonts w:hAnsi="Times New Roman"/>
          <w:b/>
          <w:bCs/>
          <w:sz w:val="36"/>
          <w:szCs w:val="36"/>
        </w:rPr>
        <w:t xml:space="preserve"> 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 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М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І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С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Ь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К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А</w:t>
      </w:r>
      <w:r>
        <w:rPr>
          <w:rStyle w:val="HTMLTypewriter"/>
          <w:rFonts w:hAnsi="Times New Roman"/>
          <w:b/>
          <w:bCs/>
          <w:sz w:val="36"/>
          <w:szCs w:val="36"/>
        </w:rPr>
        <w:t xml:space="preserve"> 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 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Р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А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Д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 xml:space="preserve"> </w:t>
      </w:r>
      <w:r>
        <w:rPr>
          <w:rStyle w:val="HTMLTypewriter"/>
          <w:rFonts w:hAnsi="Times New Roman"/>
          <w:b/>
          <w:bCs/>
          <w:sz w:val="36"/>
          <w:szCs w:val="36"/>
          <w:lang w:val="uk-UA"/>
        </w:rPr>
        <w:t>А</w:t>
      </w:r>
    </w:p>
    <w:p w:rsidR="00F12F4D" w:rsidRDefault="00F12F4D" w:rsidP="0077731C">
      <w:r>
        <w:rPr>
          <w:rStyle w:val="HTMLTypewriter"/>
          <w:b/>
          <w:bCs/>
          <w:sz w:val="32"/>
          <w:szCs w:val="32"/>
        </w:rPr>
        <w:t xml:space="preserve">____________________________________________________ </w:t>
      </w:r>
      <w:r>
        <w:rPr>
          <w:b/>
        </w:rPr>
        <w:t xml:space="preserve">Україна, Закарпатська область,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тел. (031-34) 3-25-22, 3-30-58</w:t>
      </w:r>
    </w:p>
    <w:p w:rsidR="00F12F4D" w:rsidRDefault="00F12F4D" w:rsidP="0077731C">
      <w:pPr>
        <w:rPr>
          <w:b/>
        </w:rPr>
      </w:pPr>
      <w:r>
        <w:rPr>
          <w:b/>
        </w:rPr>
        <w:t>90500,  м. Тячів, вул. Шевченка, 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(031-34) 3-30-47,3-30-58    </w:t>
      </w:r>
    </w:p>
    <w:p w:rsidR="00F12F4D" w:rsidRDefault="00F12F4D" w:rsidP="0077731C">
      <w:pPr>
        <w:rPr>
          <w:b/>
          <w:lang w:val="ru-RU"/>
        </w:rPr>
      </w:pPr>
      <w:r>
        <w:rPr>
          <w:b/>
        </w:rPr>
        <w:t>код</w:t>
      </w:r>
      <w:r>
        <w:rPr>
          <w:b/>
          <w:lang w:val="ru-RU"/>
        </w:rPr>
        <w:t xml:space="preserve"> 04053766,  </w:t>
      </w:r>
      <w:r>
        <w:rPr>
          <w:b/>
        </w:rPr>
        <w:t>р</w:t>
      </w:r>
      <w:r>
        <w:rPr>
          <w:b/>
          <w:lang w:val="ru-RU"/>
        </w:rPr>
        <w:t>/</w:t>
      </w:r>
      <w:r>
        <w:rPr>
          <w:b/>
        </w:rPr>
        <w:t>р</w:t>
      </w:r>
      <w:r>
        <w:rPr>
          <w:b/>
          <w:lang w:val="ru-RU"/>
        </w:rPr>
        <w:t xml:space="preserve"> 31428014249811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rStyle w:val="Hyperlink"/>
          <w:b/>
        </w:rPr>
        <w:t>e-mail:</w:t>
      </w:r>
      <w:r>
        <w:rPr>
          <w:b/>
          <w:i/>
          <w:sz w:val="20"/>
          <w:szCs w:val="20"/>
          <w:lang w:val="en-US"/>
        </w:rPr>
        <w:t>miskrada</w:t>
      </w:r>
      <w:r>
        <w:rPr>
          <w:b/>
          <w:i/>
          <w:sz w:val="20"/>
          <w:szCs w:val="20"/>
          <w:lang w:val="ru-RU"/>
        </w:rPr>
        <w:t>@</w:t>
      </w:r>
      <w:r>
        <w:rPr>
          <w:b/>
          <w:i/>
          <w:sz w:val="20"/>
          <w:szCs w:val="20"/>
          <w:lang w:val="en-US"/>
        </w:rPr>
        <w:t>tyachiv</w:t>
      </w:r>
      <w:r>
        <w:rPr>
          <w:b/>
          <w:i/>
          <w:sz w:val="20"/>
          <w:szCs w:val="20"/>
          <w:lang w:val="ru-RU"/>
        </w:rPr>
        <w:t>-</w:t>
      </w:r>
      <w:r>
        <w:rPr>
          <w:b/>
          <w:i/>
          <w:sz w:val="20"/>
          <w:szCs w:val="20"/>
          <w:lang w:val="en-US"/>
        </w:rPr>
        <w:t>city</w:t>
      </w:r>
      <w:r>
        <w:rPr>
          <w:b/>
          <w:i/>
          <w:sz w:val="20"/>
          <w:szCs w:val="20"/>
          <w:lang w:val="ru-RU"/>
        </w:rPr>
        <w:t>.</w:t>
      </w:r>
      <w:r>
        <w:rPr>
          <w:b/>
          <w:i/>
          <w:sz w:val="20"/>
          <w:szCs w:val="20"/>
          <w:lang w:val="en-US"/>
        </w:rPr>
        <w:t>gov</w:t>
      </w:r>
      <w:r>
        <w:rPr>
          <w:b/>
          <w:i/>
          <w:sz w:val="20"/>
          <w:szCs w:val="20"/>
          <w:lang w:val="ru-RU"/>
        </w:rPr>
        <w:t>.</w:t>
      </w:r>
      <w:r>
        <w:rPr>
          <w:b/>
          <w:i/>
          <w:sz w:val="20"/>
          <w:szCs w:val="20"/>
          <w:lang w:val="en-US"/>
        </w:rPr>
        <w:t>ua</w:t>
      </w:r>
    </w:p>
    <w:p w:rsidR="00F12F4D" w:rsidRDefault="00F12F4D" w:rsidP="0077731C">
      <w:pPr>
        <w:rPr>
          <w:b/>
        </w:rPr>
      </w:pPr>
      <w:r>
        <w:rPr>
          <w:b/>
        </w:rPr>
        <w:t>УДК в Закарпатськійобласті,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hyperlink r:id="rId11" w:history="1">
        <w:r>
          <w:rPr>
            <w:rStyle w:val="Hyperlink"/>
            <w:b/>
          </w:rPr>
          <w:t>http://tyachiv.in.ua</w:t>
        </w:r>
      </w:hyperlink>
      <w:r>
        <w:rPr>
          <w:b/>
        </w:rPr>
        <w:t>,</w:t>
      </w:r>
    </w:p>
    <w:p w:rsidR="00F12F4D" w:rsidRDefault="00F12F4D" w:rsidP="0077731C">
      <w:pPr>
        <w:pStyle w:val="HTMLPreformatted"/>
        <w:pBdr>
          <w:bottom w:val="single" w:sz="8" w:space="2" w:color="000000"/>
        </w:pBdr>
        <w:rPr>
          <w:rStyle w:val="HTMLTypewriter"/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МФО 812016, код 38028923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http://tyachivska.gromada.</w:t>
      </w:r>
      <w:r>
        <w:rPr>
          <w:rFonts w:ascii="Times New Roman" w:hAnsi="Times New Roman"/>
          <w:b/>
          <w:sz w:val="24"/>
          <w:szCs w:val="24"/>
          <w:lang w:val="en-US"/>
        </w:rPr>
        <w:t>gov</w:t>
      </w:r>
      <w:r>
        <w:rPr>
          <w:rFonts w:ascii="Times New Roman" w:hAnsi="Times New Roman"/>
          <w:b/>
          <w:sz w:val="24"/>
          <w:szCs w:val="24"/>
        </w:rPr>
        <w:t>.ua</w:t>
      </w:r>
    </w:p>
    <w:p w:rsidR="00F12F4D" w:rsidRDefault="00F12F4D" w:rsidP="0077731C">
      <w:pPr>
        <w:tabs>
          <w:tab w:val="left" w:pos="5880"/>
        </w:tabs>
        <w:jc w:val="both"/>
        <w:rPr>
          <w:sz w:val="28"/>
          <w:szCs w:val="28"/>
        </w:rPr>
      </w:pPr>
    </w:p>
    <w:p w:rsidR="00F12F4D" w:rsidRDefault="00F12F4D" w:rsidP="0077731C">
      <w:pPr>
        <w:ind w:left="-360"/>
        <w:jc w:val="both"/>
        <w:rPr>
          <w:color w:val="000000"/>
        </w:rPr>
      </w:pPr>
    </w:p>
    <w:p w:rsidR="00F12F4D" w:rsidRDefault="00F12F4D" w:rsidP="0077731C">
      <w:pPr>
        <w:tabs>
          <w:tab w:val="left" w:pos="58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24 травня 2018 року     №   483  </w:t>
      </w:r>
    </w:p>
    <w:p w:rsidR="00F12F4D" w:rsidRDefault="00F12F4D" w:rsidP="0077731C">
      <w:pPr>
        <w:tabs>
          <w:tab w:val="left" w:pos="720"/>
          <w:tab w:val="left" w:pos="2160"/>
        </w:tabs>
        <w:rPr>
          <w:sz w:val="28"/>
          <w:szCs w:val="28"/>
        </w:rPr>
      </w:pPr>
      <w:r>
        <w:rPr>
          <w:sz w:val="28"/>
          <w:szCs w:val="28"/>
        </w:rPr>
        <w:t>на №____ від _________2018 року                                        Тячівська районна рада</w:t>
      </w:r>
    </w:p>
    <w:p w:rsidR="00F12F4D" w:rsidRDefault="00F12F4D" w:rsidP="0077731C">
      <w:pPr>
        <w:jc w:val="both"/>
        <w:rPr>
          <w:sz w:val="28"/>
          <w:szCs w:val="28"/>
        </w:rPr>
      </w:pPr>
    </w:p>
    <w:p w:rsidR="00F12F4D" w:rsidRPr="0077731C" w:rsidRDefault="00F12F4D" w:rsidP="0077731C">
      <w:pPr>
        <w:tabs>
          <w:tab w:val="left" w:pos="3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77731C">
        <w:rPr>
          <w:sz w:val="28"/>
          <w:szCs w:val="28"/>
        </w:rPr>
        <w:t xml:space="preserve"> Тячівська міська рада надсилає в додатку рішення двадцять третьої (позачергової) сесії сьомого скликання від 24 травня 2018 року №  2512 «</w:t>
      </w:r>
      <w:r w:rsidRPr="0077731C">
        <w:rPr>
          <w:bCs/>
          <w:sz w:val="28"/>
          <w:szCs w:val="28"/>
        </w:rPr>
        <w:t>Про стан роботи по передачі із спільної власності територіальної громади району у комунальну власність міської об’єднаної територіальної громади житлового фонду, систем водопроводу, каналізації та транспортних засобів по обслуговуванню цих об’єктів»</w:t>
      </w:r>
      <w:r>
        <w:rPr>
          <w:bCs/>
          <w:sz w:val="28"/>
          <w:szCs w:val="28"/>
        </w:rPr>
        <w:t>, яке прийнято за наслідками громадських слухань, що відбулися у березні 2017 та 2018 років</w:t>
      </w:r>
      <w:r w:rsidRPr="0077731C">
        <w:rPr>
          <w:sz w:val="28"/>
          <w:szCs w:val="28"/>
        </w:rPr>
        <w:t>.</w:t>
      </w:r>
    </w:p>
    <w:p w:rsidR="00F12F4D" w:rsidRDefault="00F12F4D" w:rsidP="007773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Прохання розглянути хід виконання прийнятих райрадою рішень з цього питання, а також рішень Тячівської міської ради та громадських слухань, що проводились у об’єднаній територіальній громаді, на черговій сесії районної ради та врахувати їх в роботі по усуненню недоліків та порушень.</w:t>
      </w:r>
    </w:p>
    <w:p w:rsidR="00F12F4D" w:rsidRDefault="00F12F4D" w:rsidP="007773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 наслідки  розгляду зазначених документів просимо проінформувати Тячівську міську раду у встановлені законодавством терміни.</w:t>
      </w:r>
    </w:p>
    <w:p w:rsidR="00F12F4D" w:rsidRDefault="00F12F4D" w:rsidP="0077731C">
      <w:pPr>
        <w:jc w:val="both"/>
        <w:rPr>
          <w:sz w:val="28"/>
          <w:szCs w:val="28"/>
        </w:rPr>
      </w:pPr>
    </w:p>
    <w:p w:rsidR="00F12F4D" w:rsidRDefault="00F12F4D" w:rsidP="007773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Додаток: на 2-ох аркушах.</w:t>
      </w:r>
    </w:p>
    <w:p w:rsidR="00F12F4D" w:rsidRDefault="00F12F4D" w:rsidP="0077731C">
      <w:pPr>
        <w:rPr>
          <w:sz w:val="28"/>
          <w:szCs w:val="28"/>
        </w:rPr>
      </w:pPr>
    </w:p>
    <w:p w:rsidR="00F12F4D" w:rsidRDefault="00F12F4D" w:rsidP="0077731C">
      <w:pPr>
        <w:rPr>
          <w:sz w:val="28"/>
          <w:szCs w:val="28"/>
        </w:rPr>
      </w:pPr>
    </w:p>
    <w:p w:rsidR="00F12F4D" w:rsidRDefault="00F12F4D" w:rsidP="0077731C">
      <w:pPr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І.І. Ковач</w:t>
      </w:r>
    </w:p>
    <w:p w:rsidR="00F12F4D" w:rsidRDefault="00F12F4D" w:rsidP="0077731C">
      <w:pPr>
        <w:rPr>
          <w:sz w:val="28"/>
          <w:szCs w:val="28"/>
        </w:rPr>
      </w:pPr>
    </w:p>
    <w:p w:rsidR="00F12F4D" w:rsidRDefault="00F12F4D" w:rsidP="0077731C">
      <w:pPr>
        <w:rPr>
          <w:sz w:val="28"/>
          <w:szCs w:val="28"/>
        </w:rPr>
      </w:pPr>
    </w:p>
    <w:p w:rsidR="00F12F4D" w:rsidRDefault="00F12F4D" w:rsidP="0077731C">
      <w:pPr>
        <w:rPr>
          <w:sz w:val="28"/>
          <w:szCs w:val="28"/>
        </w:rPr>
      </w:pPr>
    </w:p>
    <w:p w:rsidR="00F12F4D" w:rsidRPr="00BA73AF" w:rsidRDefault="00F12F4D" w:rsidP="004F5542">
      <w:pPr>
        <w:ind w:right="-365"/>
        <w:jc w:val="both"/>
        <w:rPr>
          <w:bCs/>
          <w:sz w:val="28"/>
          <w:szCs w:val="28"/>
        </w:rPr>
      </w:pPr>
    </w:p>
    <w:sectPr w:rsidR="00F12F4D" w:rsidRPr="00BA73AF" w:rsidSect="00035E4A">
      <w:headerReference w:type="default" r:id="rId12"/>
      <w:pgSz w:w="11906" w:h="16838"/>
      <w:pgMar w:top="539" w:right="707" w:bottom="360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F4D" w:rsidRDefault="00F12F4D">
      <w:r>
        <w:separator/>
      </w:r>
    </w:p>
  </w:endnote>
  <w:endnote w:type="continuationSeparator" w:id="1">
    <w:p w:rsidR="00F12F4D" w:rsidRDefault="00F12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F4D" w:rsidRDefault="00F12F4D">
      <w:r>
        <w:separator/>
      </w:r>
    </w:p>
  </w:footnote>
  <w:footnote w:type="continuationSeparator" w:id="1">
    <w:p w:rsidR="00F12F4D" w:rsidRDefault="00F12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F4D" w:rsidRDefault="00F12F4D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0C6"/>
    <w:multiLevelType w:val="hybridMultilevel"/>
    <w:tmpl w:val="03E83AEC"/>
    <w:lvl w:ilvl="0" w:tplc="63508732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D5C1072"/>
    <w:multiLevelType w:val="hybridMultilevel"/>
    <w:tmpl w:val="203E6606"/>
    <w:lvl w:ilvl="0" w:tplc="5CE069B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2">
    <w:nsid w:val="2B31322A"/>
    <w:multiLevelType w:val="hybridMultilevel"/>
    <w:tmpl w:val="3AB0C7C0"/>
    <w:lvl w:ilvl="0" w:tplc="BEA2E24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5E9E1063"/>
    <w:multiLevelType w:val="hybridMultilevel"/>
    <w:tmpl w:val="A7C47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AB04C9"/>
    <w:multiLevelType w:val="hybridMultilevel"/>
    <w:tmpl w:val="A3D4692E"/>
    <w:lvl w:ilvl="0" w:tplc="E632AA6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07C77"/>
    <w:rsid w:val="00035E4A"/>
    <w:rsid w:val="00064458"/>
    <w:rsid w:val="0008193C"/>
    <w:rsid w:val="00083DC8"/>
    <w:rsid w:val="000A026D"/>
    <w:rsid w:val="000A69FC"/>
    <w:rsid w:val="000C337F"/>
    <w:rsid w:val="000D4D71"/>
    <w:rsid w:val="000F3406"/>
    <w:rsid w:val="001123CB"/>
    <w:rsid w:val="00126052"/>
    <w:rsid w:val="00165C9E"/>
    <w:rsid w:val="00190B14"/>
    <w:rsid w:val="001A794E"/>
    <w:rsid w:val="001E2B4A"/>
    <w:rsid w:val="001F4251"/>
    <w:rsid w:val="00204BA8"/>
    <w:rsid w:val="00252C10"/>
    <w:rsid w:val="002B0DDC"/>
    <w:rsid w:val="003348DE"/>
    <w:rsid w:val="00364094"/>
    <w:rsid w:val="00384A2D"/>
    <w:rsid w:val="003A39C2"/>
    <w:rsid w:val="003B4CFE"/>
    <w:rsid w:val="003F204C"/>
    <w:rsid w:val="004726A3"/>
    <w:rsid w:val="004D4420"/>
    <w:rsid w:val="004E098A"/>
    <w:rsid w:val="004F5542"/>
    <w:rsid w:val="004F776E"/>
    <w:rsid w:val="0050141E"/>
    <w:rsid w:val="00511992"/>
    <w:rsid w:val="005339FA"/>
    <w:rsid w:val="00572610"/>
    <w:rsid w:val="00584999"/>
    <w:rsid w:val="005C2D6A"/>
    <w:rsid w:val="005D3B7A"/>
    <w:rsid w:val="005F715E"/>
    <w:rsid w:val="0061270A"/>
    <w:rsid w:val="0063140A"/>
    <w:rsid w:val="006543D2"/>
    <w:rsid w:val="0067713E"/>
    <w:rsid w:val="00683B7C"/>
    <w:rsid w:val="0068775B"/>
    <w:rsid w:val="00692D80"/>
    <w:rsid w:val="00705976"/>
    <w:rsid w:val="0077731C"/>
    <w:rsid w:val="00795E5E"/>
    <w:rsid w:val="007B56F8"/>
    <w:rsid w:val="007D1F71"/>
    <w:rsid w:val="0081515F"/>
    <w:rsid w:val="00821DB4"/>
    <w:rsid w:val="00850FAC"/>
    <w:rsid w:val="00871EBB"/>
    <w:rsid w:val="008911DC"/>
    <w:rsid w:val="008F7BAD"/>
    <w:rsid w:val="00906614"/>
    <w:rsid w:val="00936115"/>
    <w:rsid w:val="00947455"/>
    <w:rsid w:val="00951F5A"/>
    <w:rsid w:val="00963587"/>
    <w:rsid w:val="009907C3"/>
    <w:rsid w:val="00997089"/>
    <w:rsid w:val="009B584B"/>
    <w:rsid w:val="00A14419"/>
    <w:rsid w:val="00A30B4E"/>
    <w:rsid w:val="00A63321"/>
    <w:rsid w:val="00B014BF"/>
    <w:rsid w:val="00B138AD"/>
    <w:rsid w:val="00B17A73"/>
    <w:rsid w:val="00B32918"/>
    <w:rsid w:val="00B661BA"/>
    <w:rsid w:val="00B66DFF"/>
    <w:rsid w:val="00B67ABB"/>
    <w:rsid w:val="00BA0801"/>
    <w:rsid w:val="00BA73AF"/>
    <w:rsid w:val="00BB5A74"/>
    <w:rsid w:val="00BD6377"/>
    <w:rsid w:val="00BE12E2"/>
    <w:rsid w:val="00BF3FD1"/>
    <w:rsid w:val="00BF40DD"/>
    <w:rsid w:val="00C0587E"/>
    <w:rsid w:val="00C11C74"/>
    <w:rsid w:val="00C47CE2"/>
    <w:rsid w:val="00C635CD"/>
    <w:rsid w:val="00C76C13"/>
    <w:rsid w:val="00CA6136"/>
    <w:rsid w:val="00CC768B"/>
    <w:rsid w:val="00CE052C"/>
    <w:rsid w:val="00CF1538"/>
    <w:rsid w:val="00CF29D6"/>
    <w:rsid w:val="00D33B90"/>
    <w:rsid w:val="00D5101F"/>
    <w:rsid w:val="00D804DD"/>
    <w:rsid w:val="00DA2CEF"/>
    <w:rsid w:val="00DB4B4A"/>
    <w:rsid w:val="00DE35B7"/>
    <w:rsid w:val="00DF10FA"/>
    <w:rsid w:val="00DF74E6"/>
    <w:rsid w:val="00E2447E"/>
    <w:rsid w:val="00E55186"/>
    <w:rsid w:val="00EF41FF"/>
    <w:rsid w:val="00F12F11"/>
    <w:rsid w:val="00F12F4D"/>
    <w:rsid w:val="00F616E8"/>
    <w:rsid w:val="00F65824"/>
    <w:rsid w:val="00FB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Знак Знак Знак Знак1 Знак Знак Знак"/>
    <w:basedOn w:val="Normal"/>
    <w:uiPriority w:val="99"/>
    <w:rsid w:val="0061270A"/>
    <w:rPr>
      <w:rFonts w:ascii="Verdana" w:hAnsi="Verdana" w:cs="Verdan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F12F11"/>
    <w:pPr>
      <w:jc w:val="center"/>
    </w:pPr>
    <w:rPr>
      <w:b/>
      <w:bCs/>
      <w:sz w:val="28"/>
    </w:rPr>
  </w:style>
  <w:style w:type="paragraph" w:styleId="NormalWeb">
    <w:name w:val="Normal (Web)"/>
    <w:basedOn w:val="Normal"/>
    <w:uiPriority w:val="99"/>
    <w:rsid w:val="00F12F11"/>
    <w:pPr>
      <w:spacing w:before="100" w:beforeAutospacing="1" w:after="100" w:afterAutospacing="1"/>
    </w:pPr>
  </w:style>
  <w:style w:type="character" w:customStyle="1" w:styleId="411">
    <w:name w:val="Основной текст (4) + 11"/>
    <w:aliases w:val="5 pt20,Не полужирный4,Не курсив"/>
    <w:basedOn w:val="DefaultParagraphFont"/>
    <w:uiPriority w:val="99"/>
    <w:rsid w:val="0050141E"/>
    <w:rPr>
      <w:rFonts w:ascii="Times New Roman" w:hAnsi="Times New Roman" w:cs="Times New Roman"/>
      <w:spacing w:val="0"/>
      <w:sz w:val="23"/>
      <w:szCs w:val="23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141E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40">
    <w:name w:val="Основной текст (4)"/>
    <w:basedOn w:val="Normal"/>
    <w:link w:val="4"/>
    <w:uiPriority w:val="99"/>
    <w:rsid w:val="0050141E"/>
    <w:pPr>
      <w:shd w:val="clear" w:color="auto" w:fill="FFFFFF"/>
      <w:spacing w:line="547" w:lineRule="exact"/>
    </w:pPr>
    <w:rPr>
      <w:b/>
      <w:bCs/>
      <w:i/>
      <w:iCs/>
      <w:noProof/>
      <w:lang w:val="ru-RU"/>
    </w:rPr>
  </w:style>
  <w:style w:type="character" w:styleId="Hyperlink">
    <w:name w:val="Hyperlink"/>
    <w:basedOn w:val="DefaultParagraphFont"/>
    <w:uiPriority w:val="99"/>
    <w:rsid w:val="0077731C"/>
    <w:rPr>
      <w:rFonts w:ascii="Times New Roman" w:hAnsi="Times New Roman" w:cs="Times New Roman"/>
      <w:color w:val="000080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77731C"/>
    <w:rPr>
      <w:rFonts w:ascii="Courier New" w:hAnsi="Courier New" w:cs="Courier New"/>
      <w:color w:val="000000"/>
      <w:lang w:val="ru-RU" w:eastAsia="ar-SA" w:bidi="ar-SA"/>
    </w:rPr>
  </w:style>
  <w:style w:type="paragraph" w:styleId="HTMLPreformatted">
    <w:name w:val="HTML Preformatted"/>
    <w:basedOn w:val="Normal"/>
    <w:link w:val="HTMLPreformattedChar"/>
    <w:uiPriority w:val="99"/>
    <w:rsid w:val="0077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0"/>
      <w:szCs w:val="20"/>
      <w:lang w:val="ru-RU" w:eastAsia="ar-SA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025FE9"/>
    <w:rPr>
      <w:rFonts w:ascii="Courier New" w:hAnsi="Courier New" w:cs="Courier New"/>
      <w:sz w:val="20"/>
      <w:szCs w:val="20"/>
      <w:lang w:val="uk-UA"/>
    </w:rPr>
  </w:style>
  <w:style w:type="character" w:styleId="HTMLTypewriter">
    <w:name w:val="HTML Typewriter"/>
    <w:basedOn w:val="DefaultParagraphFont"/>
    <w:uiPriority w:val="99"/>
    <w:rsid w:val="0077731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yachiv.in.ua/" TargetMode="Externa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3</Pages>
  <Words>668</Words>
  <Characters>3814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50</cp:revision>
  <cp:lastPrinted>2018-05-24T13:54:00Z</cp:lastPrinted>
  <dcterms:created xsi:type="dcterms:W3CDTF">2018-03-28T06:38:00Z</dcterms:created>
  <dcterms:modified xsi:type="dcterms:W3CDTF">2018-05-24T14:02:00Z</dcterms:modified>
</cp:coreProperties>
</file>