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92C" w:rsidRPr="00A7439D" w:rsidRDefault="005A192C" w:rsidP="00211CB7">
      <w:pPr>
        <w:pStyle w:val="30"/>
        <w:shd w:val="clear" w:color="auto" w:fill="auto"/>
        <w:spacing w:before="0" w:line="240" w:lineRule="auto"/>
        <w:ind w:right="-1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Додаток 2</w:t>
      </w:r>
    </w:p>
    <w:p w:rsidR="00EC2284" w:rsidRPr="00A7439D" w:rsidRDefault="00EC2284" w:rsidP="00EC2284">
      <w:pPr>
        <w:pStyle w:val="40"/>
        <w:shd w:val="clear" w:color="auto" w:fill="auto"/>
        <w:spacing w:after="0" w:line="240" w:lineRule="auto"/>
        <w:ind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                                                                             </w:t>
      </w:r>
      <w:r w:rsidR="005A192C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до Порядку передачі документації для надання</w:t>
      </w:r>
    </w:p>
    <w:p w:rsidR="00EC2284" w:rsidRPr="00A7439D" w:rsidRDefault="00EC2284" w:rsidP="00EC2284">
      <w:pPr>
        <w:pStyle w:val="40"/>
        <w:shd w:val="clear" w:color="auto" w:fill="auto"/>
        <w:spacing w:after="0" w:line="240" w:lineRule="auto"/>
        <w:ind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                                                                                   </w:t>
      </w:r>
      <w:r w:rsidR="005A192C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висновку з оцінки впливу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на довкілля та</w:t>
      </w:r>
      <w:r w:rsidR="00E27CB1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фінансування </w:t>
      </w:r>
    </w:p>
    <w:p w:rsidR="005A192C" w:rsidRPr="00A7439D" w:rsidRDefault="00EC2284" w:rsidP="00EC2284">
      <w:pPr>
        <w:pStyle w:val="40"/>
        <w:shd w:val="clear" w:color="auto" w:fill="auto"/>
        <w:spacing w:after="0" w:line="240" w:lineRule="auto"/>
        <w:ind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                          </w:t>
      </w:r>
      <w:r w:rsidR="005A192C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оцінки впливу на довкілля</w:t>
      </w:r>
    </w:p>
    <w:p w:rsidR="005A192C" w:rsidRPr="00A7439D" w:rsidRDefault="005A192C" w:rsidP="00211CB7">
      <w:pPr>
        <w:pStyle w:val="30"/>
        <w:shd w:val="clear" w:color="auto" w:fill="auto"/>
        <w:spacing w:before="0" w:line="240" w:lineRule="auto"/>
        <w:ind w:left="5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</w:p>
    <w:p w:rsidR="002E60CB" w:rsidRPr="00882407" w:rsidRDefault="00882407" w:rsidP="00882407">
      <w:pPr>
        <w:pStyle w:val="50"/>
        <w:pBdr>
          <w:bottom w:val="single" w:sz="4" w:space="1" w:color="auto"/>
        </w:pBdr>
        <w:shd w:val="clear" w:color="auto" w:fill="auto"/>
        <w:spacing w:before="0" w:after="0" w:line="240" w:lineRule="auto"/>
        <w:ind w:left="4956" w:right="-1"/>
        <w:rPr>
          <w:rFonts w:asciiTheme="minorHAnsi" w:hAnsiTheme="minorHAnsi" w:cs="Helvetica"/>
          <w:sz w:val="28"/>
          <w:szCs w:val="24"/>
          <w:shd w:val="clear" w:color="auto" w:fill="F3F3F4"/>
        </w:rPr>
      </w:pPr>
      <w:r w:rsidRPr="00882407">
        <w:rPr>
          <w:rFonts w:asciiTheme="minorHAnsi" w:hAnsiTheme="minorHAnsi" w:cs="Helvetica"/>
          <w:sz w:val="28"/>
          <w:szCs w:val="24"/>
          <w:shd w:val="clear" w:color="auto" w:fill="F3F3F4"/>
        </w:rPr>
        <w:t>24-04-2019</w:t>
      </w:r>
    </w:p>
    <w:p w:rsidR="002E60CB" w:rsidRPr="00A7439D" w:rsidRDefault="005A192C" w:rsidP="00211CB7">
      <w:pPr>
        <w:pStyle w:val="50"/>
        <w:shd w:val="clear" w:color="auto" w:fill="auto"/>
        <w:spacing w:before="0" w:after="0" w:line="240" w:lineRule="auto"/>
        <w:ind w:left="48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(дата офіційного опублікування в Єдиному</w:t>
      </w:r>
    </w:p>
    <w:p w:rsidR="002E60CB" w:rsidRPr="00A7439D" w:rsidRDefault="005A192C" w:rsidP="00211CB7">
      <w:pPr>
        <w:pStyle w:val="50"/>
        <w:shd w:val="clear" w:color="auto" w:fill="auto"/>
        <w:spacing w:before="0" w:after="0" w:line="240" w:lineRule="auto"/>
        <w:ind w:left="48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реєстрі з оцінки впливу на 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Д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овкілля</w:t>
      </w:r>
    </w:p>
    <w:p w:rsidR="002E60CB" w:rsidRPr="00A7439D" w:rsidRDefault="005A192C" w:rsidP="00211CB7">
      <w:pPr>
        <w:pStyle w:val="50"/>
        <w:shd w:val="clear" w:color="auto" w:fill="auto"/>
        <w:spacing w:before="0" w:after="0" w:line="240" w:lineRule="auto"/>
        <w:ind w:left="48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(автоматично генерується програмними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засобами</w:t>
      </w:r>
    </w:p>
    <w:p w:rsidR="002E60CB" w:rsidRPr="00A7439D" w:rsidRDefault="005A192C" w:rsidP="00211CB7">
      <w:pPr>
        <w:pStyle w:val="50"/>
        <w:shd w:val="clear" w:color="auto" w:fill="auto"/>
        <w:spacing w:before="0" w:after="0" w:line="240" w:lineRule="auto"/>
        <w:ind w:left="48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ведення Єдиного</w:t>
      </w:r>
      <w:bookmarkStart w:id="0" w:name="_GoBack"/>
      <w:bookmarkEnd w:id="0"/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реєстру з оцінки</w:t>
      </w:r>
      <w:r w:rsidR="002532C2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впли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ву на довкілля,</w:t>
      </w:r>
      <w:r w:rsidR="002532C2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не зазначається о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б'єктом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господарювання)</w:t>
      </w:r>
    </w:p>
    <w:p w:rsidR="002E60CB" w:rsidRPr="00A7439D" w:rsidRDefault="002E60CB" w:rsidP="00211CB7">
      <w:pPr>
        <w:pStyle w:val="50"/>
        <w:shd w:val="clear" w:color="auto" w:fill="auto"/>
        <w:spacing w:before="0" w:after="0" w:line="240" w:lineRule="auto"/>
        <w:ind w:left="4111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</w:p>
    <w:p w:rsidR="002E60CB" w:rsidRPr="002532C2" w:rsidRDefault="002532C2" w:rsidP="002532C2">
      <w:pPr>
        <w:pStyle w:val="50"/>
        <w:pBdr>
          <w:bottom w:val="single" w:sz="4" w:space="1" w:color="auto"/>
        </w:pBdr>
        <w:shd w:val="clear" w:color="auto" w:fill="auto"/>
        <w:spacing w:before="0" w:after="0" w:line="240" w:lineRule="auto"/>
        <w:ind w:left="4956" w:right="-1"/>
        <w:rPr>
          <w:rFonts w:asciiTheme="minorHAnsi" w:hAnsiTheme="minorHAnsi" w:cstheme="minorHAnsi"/>
          <w:b w:val="0"/>
          <w:sz w:val="28"/>
          <w:szCs w:val="24"/>
          <w:lang w:val="uk-UA"/>
        </w:rPr>
      </w:pPr>
      <w:r w:rsidRPr="002532C2">
        <w:rPr>
          <w:rFonts w:asciiTheme="minorHAnsi" w:hAnsiTheme="minorHAnsi" w:cs="Helvetica"/>
          <w:sz w:val="28"/>
          <w:szCs w:val="24"/>
          <w:shd w:val="clear" w:color="auto" w:fill="F3F3F4"/>
        </w:rPr>
        <w:t>20194233506</w:t>
      </w:r>
    </w:p>
    <w:p w:rsidR="005A192C" w:rsidRPr="00A7439D" w:rsidRDefault="005A192C" w:rsidP="00211CB7">
      <w:pPr>
        <w:pStyle w:val="50"/>
        <w:shd w:val="clear" w:color="auto" w:fill="auto"/>
        <w:spacing w:before="0" w:after="0" w:line="240" w:lineRule="auto"/>
        <w:ind w:left="4820" w:right="-1"/>
        <w:rPr>
          <w:rFonts w:asciiTheme="minorHAnsi" w:hAnsiTheme="minorHAnsi" w:cstheme="minorHAnsi"/>
          <w:b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(реєстраційний номер справи про оцінку впливу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br/>
        <w:t>на довкілля планованої діяльності (автоматично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br/>
        <w:t>генерується програмними засобами ведення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br/>
        <w:t>Єдиного реєстру з оцінки впливу на довкілля,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для паперової версії зазначається суб'єктом</w:t>
      </w:r>
      <w:r w:rsidR="002E60CB"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sz w:val="24"/>
          <w:szCs w:val="24"/>
          <w:lang w:val="uk-UA"/>
        </w:rPr>
        <w:t>господарювання)</w:t>
      </w:r>
    </w:p>
    <w:p w:rsidR="005A192C" w:rsidRPr="00A7439D" w:rsidRDefault="005A192C" w:rsidP="00211CB7">
      <w:pPr>
        <w:pStyle w:val="30"/>
        <w:shd w:val="clear" w:color="auto" w:fill="auto"/>
        <w:spacing w:before="0" w:line="240" w:lineRule="auto"/>
        <w:ind w:left="520" w:right="-1"/>
        <w:jc w:val="both"/>
        <w:rPr>
          <w:rFonts w:asciiTheme="minorHAnsi" w:hAnsiTheme="minorHAnsi" w:cstheme="minorHAnsi"/>
          <w:b w:val="0"/>
          <w:sz w:val="24"/>
          <w:szCs w:val="24"/>
          <w:lang w:val="uk-UA"/>
        </w:rPr>
      </w:pPr>
    </w:p>
    <w:p w:rsidR="005A192C" w:rsidRPr="00A7439D" w:rsidRDefault="005A192C" w:rsidP="00211CB7">
      <w:pPr>
        <w:pStyle w:val="30"/>
        <w:shd w:val="clear" w:color="auto" w:fill="auto"/>
        <w:spacing w:before="0" w:line="240" w:lineRule="auto"/>
        <w:ind w:right="-1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:rsidR="004C1117" w:rsidRPr="00A7439D" w:rsidRDefault="004C1117" w:rsidP="00211CB7">
      <w:pPr>
        <w:pStyle w:val="30"/>
        <w:shd w:val="clear" w:color="auto" w:fill="auto"/>
        <w:spacing w:before="0" w:line="240" w:lineRule="auto"/>
        <w:ind w:right="-1"/>
        <w:rPr>
          <w:rFonts w:asciiTheme="minorHAnsi" w:hAnsiTheme="minorHAnsi" w:cstheme="minorHAnsi"/>
          <w:sz w:val="32"/>
          <w:szCs w:val="24"/>
          <w:lang w:val="uk-UA"/>
        </w:rPr>
      </w:pPr>
      <w:r w:rsidRPr="00A7439D">
        <w:rPr>
          <w:rFonts w:asciiTheme="minorHAnsi" w:hAnsiTheme="minorHAnsi" w:cstheme="minorHAnsi"/>
          <w:sz w:val="32"/>
          <w:szCs w:val="24"/>
          <w:lang w:val="uk-UA"/>
        </w:rPr>
        <w:t>ПОВІДОМЛЕННЯ</w:t>
      </w:r>
    </w:p>
    <w:p w:rsidR="004C1117" w:rsidRPr="00A7439D" w:rsidRDefault="004C1117" w:rsidP="00211CB7">
      <w:pPr>
        <w:pStyle w:val="30"/>
        <w:shd w:val="clear" w:color="auto" w:fill="auto"/>
        <w:spacing w:before="0" w:line="240" w:lineRule="auto"/>
        <w:ind w:right="-1"/>
        <w:rPr>
          <w:rFonts w:asciiTheme="minorHAnsi" w:hAnsiTheme="minorHAnsi" w:cstheme="minorHAnsi"/>
          <w:sz w:val="32"/>
          <w:szCs w:val="24"/>
          <w:lang w:val="uk-UA"/>
        </w:rPr>
      </w:pPr>
      <w:r w:rsidRPr="00A7439D">
        <w:rPr>
          <w:rFonts w:asciiTheme="minorHAnsi" w:hAnsiTheme="minorHAnsi" w:cstheme="minorHAnsi"/>
          <w:sz w:val="32"/>
          <w:szCs w:val="24"/>
          <w:lang w:val="uk-UA"/>
        </w:rPr>
        <w:t>про плановану діяльність, яка підлягає оцінці впливу на довкілля</w:t>
      </w:r>
      <w:r w:rsidRPr="00A7439D">
        <w:rPr>
          <w:rFonts w:asciiTheme="minorHAnsi" w:hAnsiTheme="minorHAnsi" w:cstheme="minorHAnsi"/>
          <w:sz w:val="32"/>
          <w:szCs w:val="24"/>
          <w:lang w:val="uk-UA"/>
        </w:rPr>
        <w:br/>
        <w:t>Тячівська міська рада</w:t>
      </w:r>
    </w:p>
    <w:p w:rsidR="004C1117" w:rsidRPr="00A7439D" w:rsidRDefault="004C1117" w:rsidP="00211CB7">
      <w:pPr>
        <w:pStyle w:val="30"/>
        <w:shd w:val="clear" w:color="auto" w:fill="auto"/>
        <w:spacing w:before="0" w:line="240" w:lineRule="auto"/>
        <w:ind w:right="-1"/>
        <w:rPr>
          <w:rFonts w:asciiTheme="minorHAnsi" w:hAnsiTheme="minorHAnsi" w:cstheme="minorHAnsi"/>
          <w:sz w:val="32"/>
          <w:szCs w:val="24"/>
          <w:lang w:val="uk-UA"/>
        </w:rPr>
      </w:pPr>
      <w:r w:rsidRPr="00A7439D">
        <w:rPr>
          <w:rFonts w:asciiTheme="minorHAnsi" w:hAnsiTheme="minorHAnsi" w:cstheme="minorHAnsi"/>
          <w:sz w:val="32"/>
          <w:szCs w:val="24"/>
          <w:lang w:val="uk-UA"/>
        </w:rPr>
        <w:t>( код 04053766)</w:t>
      </w:r>
    </w:p>
    <w:p w:rsidR="004C1117" w:rsidRPr="00A7439D" w:rsidRDefault="004C1117" w:rsidP="00211CB7">
      <w:pPr>
        <w:pStyle w:val="60"/>
        <w:shd w:val="clear" w:color="auto" w:fill="auto"/>
        <w:spacing w:before="0" w:line="240" w:lineRule="auto"/>
        <w:ind w:right="-1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інфор</w:t>
      </w:r>
      <w:r w:rsidR="00F62B60" w:rsidRPr="00A7439D">
        <w:rPr>
          <w:rFonts w:asciiTheme="minorHAnsi" w:hAnsiTheme="minorHAnsi" w:cstheme="minorHAnsi"/>
          <w:sz w:val="24"/>
          <w:szCs w:val="24"/>
          <w:lang w:val="uk-UA"/>
        </w:rPr>
        <w:t>мує про намір  провадити  планову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діяльності та оцінку її впливу на довкілля.</w:t>
      </w:r>
    </w:p>
    <w:p w:rsidR="004C1117" w:rsidRPr="00A7439D" w:rsidRDefault="000D49CF" w:rsidP="00211CB7">
      <w:pPr>
        <w:pStyle w:val="60"/>
        <w:shd w:val="clear" w:color="auto" w:fill="auto"/>
        <w:tabs>
          <w:tab w:val="left" w:pos="825"/>
        </w:tabs>
        <w:spacing w:before="0" w:line="240" w:lineRule="auto"/>
        <w:ind w:right="-1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1.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Інформація про суб'єкта господарювання</w:t>
      </w:r>
      <w:r w:rsidR="00F62B60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</w:p>
    <w:p w:rsidR="004C1117" w:rsidRPr="00A7439D" w:rsidRDefault="004C1117" w:rsidP="00211CB7">
      <w:pPr>
        <w:pStyle w:val="20"/>
        <w:shd w:val="clear" w:color="auto" w:fill="auto"/>
        <w:spacing w:after="0" w:line="240" w:lineRule="auto"/>
        <w:ind w:right="-1" w:firstLine="284"/>
        <w:jc w:val="left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Тячівська  міська рада,</w:t>
      </w:r>
    </w:p>
    <w:p w:rsidR="00F62B60" w:rsidRPr="00A7439D" w:rsidRDefault="00F62B60" w:rsidP="00211CB7">
      <w:pPr>
        <w:pStyle w:val="20"/>
        <w:shd w:val="clear" w:color="auto" w:fill="auto"/>
        <w:spacing w:after="0" w:line="240" w:lineRule="auto"/>
        <w:ind w:right="-1" w:firstLine="284"/>
        <w:jc w:val="left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Міський голова</w:t>
      </w:r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4C3221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–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Ков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ач Іван Іванови</w:t>
      </w:r>
      <w:r w:rsidR="0091261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ч,</w:t>
      </w:r>
    </w:p>
    <w:p w:rsidR="002F1C14" w:rsidRPr="00A7439D" w:rsidRDefault="00912614" w:rsidP="00211CB7">
      <w:pPr>
        <w:pStyle w:val="20"/>
        <w:shd w:val="clear" w:color="auto" w:fill="auto"/>
        <w:spacing w:after="0" w:line="240" w:lineRule="auto"/>
        <w:ind w:right="-1" w:firstLine="284"/>
        <w:jc w:val="left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90500, м</w:t>
      </w:r>
      <w:r w:rsidR="003014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.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Тячів</w:t>
      </w:r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 вул.</w:t>
      </w:r>
      <w:r w:rsidR="003014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A7439D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Шевченка, 2</w:t>
      </w:r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</w:t>
      </w:r>
      <w:r w:rsidR="003014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proofErr w:type="spellStart"/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тел</w:t>
      </w:r>
      <w:proofErr w:type="spellEnd"/>
      <w:r w:rsidR="004C111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./факс. (031-34) 03-25-22,3-30-58</w:t>
      </w:r>
      <w:r w:rsidR="00F62B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</w:t>
      </w:r>
    </w:p>
    <w:p w:rsidR="004C1117" w:rsidRPr="00A7439D" w:rsidRDefault="00F62B60" w:rsidP="00211CB7">
      <w:pPr>
        <w:pStyle w:val="20"/>
        <w:shd w:val="clear" w:color="auto" w:fill="auto"/>
        <w:spacing w:after="0" w:line="240" w:lineRule="auto"/>
        <w:ind w:right="-1" w:firstLine="284"/>
        <w:jc w:val="left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е-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mail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:</w:t>
      </w:r>
      <w:r w:rsidR="00A7439D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A7439D" w:rsidRPr="00A7439D">
        <w:rPr>
          <w:rFonts w:asciiTheme="minorHAnsi" w:hAnsiTheme="minorHAnsi" w:cstheme="minorHAnsi"/>
          <w:b w:val="0"/>
          <w:i w:val="0"/>
          <w:sz w:val="24"/>
          <w:szCs w:val="24"/>
          <w:u w:val="single"/>
          <w:lang w:val="uk-UA"/>
        </w:rPr>
        <w:t>miskrada@tyachiv-city.gov.ua</w:t>
      </w:r>
    </w:p>
    <w:p w:rsidR="008A1108" w:rsidRPr="00A7439D" w:rsidRDefault="00F62B60" w:rsidP="00211CB7">
      <w:pPr>
        <w:pStyle w:val="60"/>
        <w:shd w:val="clear" w:color="auto" w:fill="auto"/>
        <w:tabs>
          <w:tab w:val="left" w:pos="817"/>
        </w:tabs>
        <w:spacing w:before="0" w:line="240" w:lineRule="auto"/>
        <w:ind w:right="-1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2</w:t>
      </w:r>
      <w:r w:rsidR="006300DB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="000D49CF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Планована діяльність, </w:t>
      </w:r>
      <w:r w:rsidR="005A6519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її </w:t>
      </w:r>
      <w:proofErr w:type="spellStart"/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харектеристика</w:t>
      </w:r>
      <w:proofErr w:type="spellEnd"/>
      <w:r w:rsidR="002F1C14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 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технічні</w:t>
      </w:r>
      <w:r w:rsidR="000D49CF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а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льтернативи</w:t>
      </w:r>
      <w:r w:rsidR="00B31FE6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</w:p>
    <w:p w:rsidR="004C1117" w:rsidRPr="00A7439D" w:rsidRDefault="004C1117" w:rsidP="00211CB7">
      <w:pPr>
        <w:pStyle w:val="60"/>
        <w:shd w:val="clear" w:color="auto" w:fill="auto"/>
        <w:tabs>
          <w:tab w:val="left" w:pos="817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Реконструкц</w:t>
      </w:r>
      <w:r w:rsidR="003E1776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ія </w:t>
      </w:r>
      <w:r w:rsidR="00FA789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лівобережної </w:t>
      </w:r>
      <w:r w:rsidR="003E1776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водозахисної дамби р. </w:t>
      </w:r>
      <w:proofErr w:type="spellStart"/>
      <w:r w:rsidR="00301460" w:rsidRPr="00A7439D">
        <w:rPr>
          <w:rFonts w:asciiTheme="minorHAnsi" w:hAnsiTheme="minorHAnsi" w:cstheme="minorHAnsi"/>
          <w:b/>
          <w:sz w:val="24"/>
          <w:szCs w:val="24"/>
          <w:lang w:val="uk-UA"/>
        </w:rPr>
        <w:t>Теребля</w:t>
      </w:r>
      <w:proofErr w:type="spellEnd"/>
      <w:r w:rsidR="00301460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в 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с</w:t>
      </w:r>
      <w:r w:rsidR="00301460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Руське Поле</w:t>
      </w:r>
      <w:r w:rsidR="00301460" w:rsidRPr="00A7439D">
        <w:rPr>
          <w:rFonts w:asciiTheme="minorHAnsi" w:hAnsiTheme="minorHAnsi" w:cstheme="minorHAnsi"/>
          <w:b/>
          <w:sz w:val="24"/>
          <w:szCs w:val="24"/>
          <w:lang w:val="uk-UA"/>
        </w:rPr>
        <w:t>,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Тячівського району</w:t>
      </w:r>
      <w:r w:rsidR="00301460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, 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Закарпатської області</w:t>
      </w:r>
      <w:r w:rsidR="008A1108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</w:p>
    <w:p w:rsidR="000D49CF" w:rsidRPr="00A7439D" w:rsidRDefault="0015550A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Захист населеного пункту</w:t>
      </w:r>
      <w:r w:rsidR="00B65F2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від затопл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ення паводковими водами, припинення руйнування берега річки, зсувів, обвалів </w:t>
      </w:r>
      <w:r w:rsidR="00B65F2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ґрунту можна досягти шляхом 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реконструкції </w:t>
      </w:r>
      <w:r w:rsidR="00B65F2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з одночасним </w:t>
      </w:r>
      <w:r w:rsidR="00301460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кріпленням лівобережної дамби</w:t>
      </w:r>
      <w:r w:rsidR="00B65F2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, регулюванням русла річки.</w:t>
      </w:r>
    </w:p>
    <w:p w:rsidR="000D49CF" w:rsidRPr="00A7439D" w:rsidRDefault="004C1117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Планована діяльність передбачає будівництво лівобережної водозахис</w:t>
      </w:r>
      <w:r w:rsidR="00C2787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ної дамби р.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proofErr w:type="spellStart"/>
      <w:r w:rsidR="00C2787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="00C2787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 довжиною 6</w:t>
      </w:r>
      <w:r w:rsidR="007C03F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0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00 м,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кріплення </w:t>
      </w:r>
      <w:r w:rsidR="00C2787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укосу дамби та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берега укі</w:t>
      </w:r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сним кріпленням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="00597783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59</w:t>
      </w:r>
      <w:r w:rsidR="00C2787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00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м та регулювання р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усла річки </w:t>
      </w:r>
      <w:proofErr w:type="spellStart"/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по довжині – </w:t>
      </w:r>
      <w:r w:rsidR="00597783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59</w:t>
      </w:r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00 м, 2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–</w:t>
      </w:r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і </w:t>
      </w:r>
      <w:proofErr w:type="spellStart"/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водовипускні</w:t>
      </w:r>
      <w:proofErr w:type="spellEnd"/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 споруди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(по розрахунку).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Експлуатація дамб та берегоукріплень припинить ерозійне підрізання берегів у вершинах меандр, стабілізує русло, не дозво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лить виходити паводковим водам н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а заплаву в межах с. Руське Поле.</w:t>
      </w:r>
    </w:p>
    <w:p w:rsidR="002826FB" w:rsidRPr="00A7439D" w:rsidRDefault="007E46ED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В</w:t>
      </w:r>
      <w:r w:rsidR="003151FE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иконання робіт 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передбачається проводити </w:t>
      </w:r>
      <w:r w:rsidR="003151FE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у три  черги будівництва:</w:t>
      </w:r>
    </w:p>
    <w:p w:rsidR="000D49CF" w:rsidRPr="00A7439D" w:rsidRDefault="007E46ED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</w:t>
      </w:r>
      <w:r w:rsidR="000D49CF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«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Реконструкція лівобережної водозахисної да</w:t>
      </w:r>
      <w:r w:rsidR="002F1C14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мби  р</w:t>
      </w:r>
      <w:r w:rsidR="00067077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. </w:t>
      </w:r>
      <w:proofErr w:type="spellStart"/>
      <w:r w:rsidR="002F1C14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Теребля</w:t>
      </w:r>
      <w:proofErr w:type="spellEnd"/>
      <w:r w:rsidR="002F1C14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в с</w:t>
      </w:r>
      <w:r w:rsidR="000D49CF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.</w:t>
      </w:r>
      <w:r w:rsidR="002F1C14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Руське Поле</w:t>
      </w:r>
      <w:r w:rsidR="00067077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,</w:t>
      </w:r>
      <w:r w:rsidR="002F1C14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Тячівського району</w:t>
      </w:r>
      <w:r w:rsidR="00067077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,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Закарпатської області» І-</w:t>
      </w:r>
      <w:proofErr w:type="spellStart"/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ша</w:t>
      </w:r>
      <w:proofErr w:type="spellEnd"/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черга. Ділянка №1</w:t>
      </w:r>
      <w:r w:rsidR="002826FB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від  залізничного  моста до кінця села Р</w:t>
      </w:r>
      <w:r w:rsidR="004C3221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уське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Поле по довжині </w:t>
      </w:r>
      <w:r w:rsidR="000D49C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– </w:t>
      </w:r>
      <w:r w:rsidR="007C03F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2,7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км.</w:t>
      </w:r>
    </w:p>
    <w:p w:rsidR="002826FB" w:rsidRPr="00A7439D" w:rsidRDefault="007E46ED" w:rsidP="00211CB7">
      <w:pPr>
        <w:spacing w:after="0" w:line="240" w:lineRule="auto"/>
        <w:ind w:right="-1" w:firstLine="284"/>
        <w:jc w:val="both"/>
        <w:rPr>
          <w:rFonts w:cstheme="minorHAnsi"/>
          <w:b/>
          <w:sz w:val="24"/>
          <w:szCs w:val="24"/>
          <w:lang w:val="uk-UA"/>
        </w:rPr>
      </w:pPr>
      <w:r w:rsidRPr="00A7439D">
        <w:rPr>
          <w:rFonts w:cstheme="minorHAnsi"/>
          <w:b/>
          <w:sz w:val="24"/>
          <w:szCs w:val="24"/>
          <w:lang w:val="uk-UA"/>
        </w:rPr>
        <w:t xml:space="preserve">« Реконструкція лівобережної водозахисної 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дамби </w:t>
      </w:r>
      <w:r w:rsidRPr="00A7439D">
        <w:rPr>
          <w:rFonts w:cstheme="minorHAnsi"/>
          <w:b/>
          <w:sz w:val="24"/>
          <w:szCs w:val="24"/>
          <w:lang w:val="uk-UA"/>
        </w:rPr>
        <w:t>р</w:t>
      </w:r>
      <w:r w:rsidR="00067077" w:rsidRPr="00A7439D">
        <w:rPr>
          <w:rFonts w:cstheme="minorHAnsi"/>
          <w:b/>
          <w:sz w:val="24"/>
          <w:szCs w:val="24"/>
          <w:lang w:val="uk-UA"/>
        </w:rPr>
        <w:t>.</w:t>
      </w:r>
      <w:r w:rsidRPr="00A7439D">
        <w:rPr>
          <w:rFonts w:cstheme="minorHAnsi"/>
          <w:b/>
          <w:sz w:val="24"/>
          <w:szCs w:val="24"/>
          <w:lang w:val="uk-UA"/>
        </w:rPr>
        <w:t xml:space="preserve"> </w:t>
      </w:r>
      <w:proofErr w:type="spellStart"/>
      <w:r w:rsidRPr="00A7439D">
        <w:rPr>
          <w:rFonts w:cstheme="minorHAnsi"/>
          <w:b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b/>
          <w:sz w:val="24"/>
          <w:szCs w:val="24"/>
          <w:lang w:val="uk-UA"/>
        </w:rPr>
        <w:t xml:space="preserve"> в с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. </w:t>
      </w:r>
      <w:r w:rsidRPr="00A7439D">
        <w:rPr>
          <w:rFonts w:cstheme="minorHAnsi"/>
          <w:b/>
          <w:sz w:val="24"/>
          <w:szCs w:val="24"/>
          <w:lang w:val="uk-UA"/>
        </w:rPr>
        <w:t>Руське Поле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, </w:t>
      </w:r>
      <w:r w:rsidRPr="00A7439D">
        <w:rPr>
          <w:rFonts w:cstheme="minorHAnsi"/>
          <w:b/>
          <w:sz w:val="24"/>
          <w:szCs w:val="24"/>
          <w:lang w:val="uk-UA"/>
        </w:rPr>
        <w:t>Тячівського району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, Закарпатської області» </w:t>
      </w:r>
      <w:r w:rsidRPr="00A7439D">
        <w:rPr>
          <w:rFonts w:cstheme="minorHAnsi"/>
          <w:b/>
          <w:sz w:val="24"/>
          <w:szCs w:val="24"/>
          <w:lang w:val="uk-UA"/>
        </w:rPr>
        <w:t>ІІ-га  черга. Ділянка»№2</w:t>
      </w:r>
      <w:r w:rsidR="002826FB" w:rsidRPr="00A7439D">
        <w:rPr>
          <w:rFonts w:cstheme="minorHAnsi"/>
          <w:b/>
          <w:sz w:val="24"/>
          <w:szCs w:val="24"/>
          <w:lang w:val="uk-UA"/>
        </w:rPr>
        <w:t xml:space="preserve"> </w:t>
      </w:r>
      <w:r w:rsidR="002826FB" w:rsidRPr="00A7439D">
        <w:rPr>
          <w:rFonts w:cstheme="minorHAnsi"/>
          <w:sz w:val="24"/>
          <w:szCs w:val="24"/>
          <w:lang w:val="uk-UA"/>
        </w:rPr>
        <w:t>–</w:t>
      </w:r>
      <w:r w:rsidRPr="00A7439D">
        <w:rPr>
          <w:rFonts w:cstheme="minorHAnsi"/>
          <w:sz w:val="24"/>
          <w:szCs w:val="24"/>
          <w:lang w:val="uk-UA"/>
        </w:rPr>
        <w:t xml:space="preserve"> від кінця села в верх</w:t>
      </w:r>
      <w:r w:rsidR="007C03F4" w:rsidRPr="00A7439D">
        <w:rPr>
          <w:rFonts w:cstheme="minorHAnsi"/>
          <w:sz w:val="24"/>
          <w:szCs w:val="24"/>
          <w:lang w:val="uk-UA"/>
        </w:rPr>
        <w:t xml:space="preserve"> </w:t>
      </w:r>
      <w:r w:rsidR="00597783" w:rsidRPr="00A7439D">
        <w:rPr>
          <w:rFonts w:cstheme="minorHAnsi"/>
          <w:sz w:val="24"/>
          <w:szCs w:val="24"/>
          <w:lang w:val="uk-UA"/>
        </w:rPr>
        <w:t>по течії річки  по довжині – 1,7</w:t>
      </w:r>
      <w:r w:rsidRPr="00A7439D">
        <w:rPr>
          <w:rFonts w:cstheme="minorHAnsi"/>
          <w:sz w:val="24"/>
          <w:szCs w:val="24"/>
          <w:lang w:val="uk-UA"/>
        </w:rPr>
        <w:t>км</w:t>
      </w:r>
      <w:r w:rsidR="002826FB" w:rsidRPr="00A7439D">
        <w:rPr>
          <w:rFonts w:cstheme="minorHAnsi"/>
          <w:sz w:val="24"/>
          <w:szCs w:val="24"/>
          <w:lang w:val="uk-UA"/>
        </w:rPr>
        <w:t>.</w:t>
      </w:r>
    </w:p>
    <w:p w:rsidR="002826FB" w:rsidRPr="00A7439D" w:rsidRDefault="007E46ED" w:rsidP="00211CB7">
      <w:pPr>
        <w:spacing w:after="0" w:line="240" w:lineRule="auto"/>
        <w:ind w:right="-1" w:firstLine="284"/>
        <w:jc w:val="both"/>
        <w:rPr>
          <w:rFonts w:cstheme="minorHAnsi"/>
          <w:sz w:val="24"/>
          <w:szCs w:val="24"/>
          <w:lang w:val="uk-UA"/>
        </w:rPr>
      </w:pPr>
      <w:r w:rsidRPr="00A7439D">
        <w:rPr>
          <w:rFonts w:cstheme="minorHAnsi"/>
          <w:b/>
          <w:sz w:val="24"/>
          <w:szCs w:val="24"/>
          <w:lang w:val="uk-UA"/>
        </w:rPr>
        <w:t>« Реконструкція лівобережної водозахисної дамби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 </w:t>
      </w:r>
      <w:r w:rsidRPr="00A7439D">
        <w:rPr>
          <w:rFonts w:cstheme="minorHAnsi"/>
          <w:b/>
          <w:sz w:val="24"/>
          <w:szCs w:val="24"/>
          <w:lang w:val="uk-UA"/>
        </w:rPr>
        <w:t>р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. </w:t>
      </w:r>
      <w:proofErr w:type="spellStart"/>
      <w:r w:rsidRPr="00A7439D">
        <w:rPr>
          <w:rFonts w:cstheme="minorHAnsi"/>
          <w:b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b/>
          <w:sz w:val="24"/>
          <w:szCs w:val="24"/>
          <w:lang w:val="uk-UA"/>
        </w:rPr>
        <w:t xml:space="preserve"> в с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. </w:t>
      </w:r>
      <w:r w:rsidRPr="00A7439D">
        <w:rPr>
          <w:rFonts w:cstheme="minorHAnsi"/>
          <w:b/>
          <w:sz w:val="24"/>
          <w:szCs w:val="24"/>
          <w:lang w:val="uk-UA"/>
        </w:rPr>
        <w:t>Руське Поле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, Тячівського району, </w:t>
      </w:r>
      <w:r w:rsidRPr="00A7439D">
        <w:rPr>
          <w:rFonts w:cstheme="minorHAnsi"/>
          <w:b/>
          <w:sz w:val="24"/>
          <w:szCs w:val="24"/>
          <w:lang w:val="uk-UA"/>
        </w:rPr>
        <w:t>Закарпатської області»</w:t>
      </w:r>
      <w:r w:rsidR="00067077" w:rsidRPr="00A7439D">
        <w:rPr>
          <w:rFonts w:cstheme="minorHAnsi"/>
          <w:b/>
          <w:sz w:val="24"/>
          <w:szCs w:val="24"/>
          <w:lang w:val="uk-UA"/>
        </w:rPr>
        <w:t xml:space="preserve"> </w:t>
      </w:r>
      <w:r w:rsidRPr="00A7439D">
        <w:rPr>
          <w:rFonts w:cstheme="minorHAnsi"/>
          <w:b/>
          <w:sz w:val="24"/>
          <w:szCs w:val="24"/>
          <w:lang w:val="uk-UA"/>
        </w:rPr>
        <w:t>ІІІ-</w:t>
      </w:r>
      <w:proofErr w:type="spellStart"/>
      <w:r w:rsidRPr="00A7439D">
        <w:rPr>
          <w:rFonts w:cstheme="minorHAnsi"/>
          <w:b/>
          <w:sz w:val="24"/>
          <w:szCs w:val="24"/>
          <w:lang w:val="uk-UA"/>
        </w:rPr>
        <w:t>тя</w:t>
      </w:r>
      <w:proofErr w:type="spellEnd"/>
      <w:r w:rsidRPr="00A7439D">
        <w:rPr>
          <w:rFonts w:cstheme="minorHAnsi"/>
          <w:b/>
          <w:sz w:val="24"/>
          <w:szCs w:val="24"/>
          <w:lang w:val="uk-UA"/>
        </w:rPr>
        <w:t xml:space="preserve"> черга. Ділянка №3</w:t>
      </w:r>
      <w:r w:rsidR="002826FB" w:rsidRPr="00A7439D">
        <w:rPr>
          <w:rFonts w:cstheme="minorHAnsi"/>
          <w:b/>
          <w:sz w:val="24"/>
          <w:szCs w:val="24"/>
          <w:lang w:val="uk-UA"/>
        </w:rPr>
        <w:t xml:space="preserve"> </w:t>
      </w:r>
      <w:r w:rsidR="002826FB" w:rsidRPr="00A7439D">
        <w:rPr>
          <w:rFonts w:cstheme="minorHAnsi"/>
          <w:sz w:val="24"/>
          <w:szCs w:val="24"/>
          <w:lang w:val="uk-UA"/>
        </w:rPr>
        <w:t xml:space="preserve">– </w:t>
      </w:r>
      <w:r w:rsidRPr="00A7439D">
        <w:rPr>
          <w:rFonts w:cstheme="minorHAnsi"/>
          <w:sz w:val="24"/>
          <w:szCs w:val="24"/>
          <w:lang w:val="uk-UA"/>
        </w:rPr>
        <w:t>п</w:t>
      </w:r>
      <w:r w:rsidR="002826FB" w:rsidRPr="00A7439D">
        <w:rPr>
          <w:rFonts w:cstheme="minorHAnsi"/>
          <w:sz w:val="24"/>
          <w:szCs w:val="24"/>
          <w:lang w:val="uk-UA"/>
        </w:rPr>
        <w:t>о</w:t>
      </w:r>
      <w:r w:rsidR="004C3221" w:rsidRPr="00A7439D">
        <w:rPr>
          <w:rFonts w:cstheme="minorHAnsi"/>
          <w:sz w:val="24"/>
          <w:szCs w:val="24"/>
          <w:lang w:val="uk-UA"/>
        </w:rPr>
        <w:t xml:space="preserve"> довжині </w:t>
      </w:r>
      <w:r w:rsidR="007C03F4" w:rsidRPr="00A7439D">
        <w:rPr>
          <w:rFonts w:cstheme="minorHAnsi"/>
          <w:sz w:val="24"/>
          <w:szCs w:val="24"/>
          <w:lang w:val="uk-UA"/>
        </w:rPr>
        <w:t>1,5</w:t>
      </w:r>
      <w:r w:rsidR="002826FB" w:rsidRPr="00A7439D">
        <w:rPr>
          <w:rFonts w:cstheme="minorHAnsi"/>
          <w:sz w:val="24"/>
          <w:szCs w:val="24"/>
          <w:lang w:val="uk-UA"/>
        </w:rPr>
        <w:t xml:space="preserve"> </w:t>
      </w:r>
      <w:r w:rsidRPr="00A7439D">
        <w:rPr>
          <w:rFonts w:cstheme="minorHAnsi"/>
          <w:sz w:val="24"/>
          <w:szCs w:val="24"/>
          <w:lang w:val="uk-UA"/>
        </w:rPr>
        <w:t>км</w:t>
      </w:r>
      <w:r w:rsidR="00211CB7" w:rsidRPr="00A7439D">
        <w:rPr>
          <w:rFonts w:cstheme="minorHAnsi"/>
          <w:sz w:val="24"/>
          <w:szCs w:val="24"/>
          <w:lang w:val="uk-UA"/>
        </w:rPr>
        <w:t xml:space="preserve"> </w:t>
      </w:r>
      <w:r w:rsidR="002826FB" w:rsidRPr="00A7439D">
        <w:rPr>
          <w:rFonts w:cstheme="minorHAnsi"/>
          <w:sz w:val="24"/>
          <w:szCs w:val="24"/>
          <w:lang w:val="uk-UA"/>
        </w:rPr>
        <w:t>до з'єднання з існуючою дамбою.</w:t>
      </w:r>
    </w:p>
    <w:p w:rsidR="00067077" w:rsidRPr="00A7439D" w:rsidRDefault="003151FE" w:rsidP="004C3221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lastRenderedPageBreak/>
        <w:t>І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proofErr w:type="spellStart"/>
      <w:r w:rsidR="00C27874" w:rsidRPr="00A7439D">
        <w:rPr>
          <w:rFonts w:cstheme="minorHAnsi"/>
          <w:iCs/>
          <w:sz w:val="24"/>
          <w:szCs w:val="24"/>
          <w:lang w:val="uk-UA"/>
        </w:rPr>
        <w:t>шою</w:t>
      </w:r>
      <w:proofErr w:type="spellEnd"/>
      <w:r w:rsidR="00C27874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2826FB" w:rsidRPr="00A7439D">
        <w:rPr>
          <w:rFonts w:cstheme="minorHAnsi"/>
          <w:iCs/>
          <w:sz w:val="24"/>
          <w:szCs w:val="24"/>
          <w:lang w:val="uk-UA"/>
        </w:rPr>
        <w:t xml:space="preserve">чергою передбачено виконання робіт по </w:t>
      </w:r>
      <w:r w:rsidR="00067077" w:rsidRPr="00A7439D">
        <w:rPr>
          <w:rFonts w:cstheme="minorHAnsi"/>
          <w:iCs/>
          <w:sz w:val="24"/>
          <w:szCs w:val="24"/>
          <w:lang w:val="uk-UA"/>
        </w:rPr>
        <w:t>реконструкції дамби з кріпленням берега по довжині 2,</w:t>
      </w:r>
      <w:r w:rsidR="007C03F4" w:rsidRPr="00A7439D">
        <w:rPr>
          <w:rFonts w:cstheme="minorHAnsi"/>
          <w:iCs/>
          <w:sz w:val="24"/>
          <w:szCs w:val="24"/>
          <w:lang w:val="uk-UA"/>
        </w:rPr>
        <w:t>7</w:t>
      </w:r>
      <w:r w:rsidRPr="00A7439D">
        <w:rPr>
          <w:rFonts w:cstheme="minorHAnsi"/>
          <w:iCs/>
          <w:sz w:val="24"/>
          <w:szCs w:val="24"/>
          <w:lang w:val="uk-UA"/>
        </w:rPr>
        <w:t>км</w:t>
      </w:r>
      <w:r w:rsidR="00067077" w:rsidRPr="00A7439D">
        <w:rPr>
          <w:rFonts w:cstheme="minorHAnsi"/>
          <w:iCs/>
          <w:sz w:val="24"/>
          <w:szCs w:val="24"/>
          <w:lang w:val="uk-UA"/>
        </w:rPr>
        <w:t>.,</w:t>
      </w:r>
      <w:r w:rsidRPr="00A7439D">
        <w:rPr>
          <w:rFonts w:cstheme="minorHAnsi"/>
          <w:iCs/>
          <w:sz w:val="24"/>
          <w:szCs w:val="24"/>
          <w:lang w:val="uk-UA"/>
        </w:rPr>
        <w:t xml:space="preserve"> регулю</w:t>
      </w:r>
      <w:r w:rsidR="00C27874" w:rsidRPr="00A7439D">
        <w:rPr>
          <w:rFonts w:cstheme="minorHAnsi"/>
          <w:iCs/>
          <w:sz w:val="24"/>
          <w:szCs w:val="24"/>
          <w:lang w:val="uk-UA"/>
        </w:rPr>
        <w:t xml:space="preserve">вання русла річки  протяжністю </w:t>
      </w:r>
      <w:r w:rsidR="00067077" w:rsidRPr="00A7439D">
        <w:rPr>
          <w:rFonts w:cstheme="minorHAnsi"/>
          <w:iCs/>
          <w:sz w:val="24"/>
          <w:szCs w:val="24"/>
          <w:lang w:val="uk-UA"/>
        </w:rPr>
        <w:t>2,</w:t>
      </w:r>
      <w:r w:rsidR="007C03F4" w:rsidRPr="00A7439D">
        <w:rPr>
          <w:rFonts w:cstheme="minorHAnsi"/>
          <w:iCs/>
          <w:sz w:val="24"/>
          <w:szCs w:val="24"/>
          <w:lang w:val="uk-UA"/>
        </w:rPr>
        <w:t>7</w:t>
      </w:r>
      <w:r w:rsidRPr="00A7439D">
        <w:rPr>
          <w:rFonts w:cstheme="minorHAnsi"/>
          <w:iCs/>
          <w:sz w:val="24"/>
          <w:szCs w:val="24"/>
          <w:lang w:val="uk-UA"/>
        </w:rPr>
        <w:t>км</w:t>
      </w:r>
      <w:r w:rsidR="00067077" w:rsidRPr="00A7439D">
        <w:rPr>
          <w:rFonts w:cstheme="minorHAnsi"/>
          <w:iCs/>
          <w:sz w:val="24"/>
          <w:szCs w:val="24"/>
          <w:lang w:val="uk-UA"/>
        </w:rPr>
        <w:t>.,</w:t>
      </w:r>
      <w:r w:rsidR="004C3221" w:rsidRPr="00A7439D">
        <w:rPr>
          <w:rFonts w:cstheme="minorHAnsi"/>
          <w:iCs/>
          <w:sz w:val="24"/>
          <w:szCs w:val="24"/>
          <w:lang w:val="uk-UA"/>
        </w:rPr>
        <w:t xml:space="preserve">  від залізничного мосту </w:t>
      </w:r>
      <w:r w:rsidRPr="00A7439D">
        <w:rPr>
          <w:rFonts w:cstheme="minorHAnsi"/>
          <w:iCs/>
          <w:sz w:val="24"/>
          <w:szCs w:val="24"/>
          <w:lang w:val="uk-UA"/>
        </w:rPr>
        <w:t>до кінця с.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 Руське</w:t>
      </w:r>
      <w:r w:rsidRPr="00A7439D">
        <w:rPr>
          <w:rFonts w:cstheme="minorHAnsi"/>
          <w:iCs/>
          <w:sz w:val="24"/>
          <w:szCs w:val="24"/>
          <w:lang w:val="uk-UA"/>
        </w:rPr>
        <w:t xml:space="preserve"> Поле</w:t>
      </w:r>
      <w:r w:rsidR="002826FB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8A1108" w:rsidRPr="00A7439D">
        <w:rPr>
          <w:rFonts w:cstheme="minorHAnsi"/>
          <w:iCs/>
          <w:sz w:val="24"/>
          <w:szCs w:val="24"/>
          <w:lang w:val="uk-UA"/>
        </w:rPr>
        <w:t>(</w:t>
      </w:r>
      <w:r w:rsidR="00067077" w:rsidRPr="00A7439D">
        <w:rPr>
          <w:rFonts w:cstheme="minorHAnsi"/>
          <w:iCs/>
          <w:sz w:val="24"/>
          <w:szCs w:val="24"/>
          <w:lang w:val="uk-UA"/>
        </w:rPr>
        <w:t>Ділянка</w:t>
      </w:r>
      <w:r w:rsidR="00453E3F" w:rsidRPr="00A7439D">
        <w:rPr>
          <w:rFonts w:cstheme="minorHAnsi"/>
          <w:iCs/>
          <w:sz w:val="24"/>
          <w:szCs w:val="24"/>
          <w:lang w:val="uk-UA"/>
        </w:rPr>
        <w:t xml:space="preserve"> №1</w:t>
      </w:r>
      <w:r w:rsidR="002826FB" w:rsidRPr="00A7439D">
        <w:rPr>
          <w:rFonts w:cstheme="minorHAnsi"/>
          <w:iCs/>
          <w:sz w:val="24"/>
          <w:szCs w:val="24"/>
          <w:lang w:val="uk-UA"/>
        </w:rPr>
        <w:t>). Також  передбачаються   роботи</w:t>
      </w:r>
      <w:r w:rsidR="007E46ED" w:rsidRPr="00A7439D">
        <w:rPr>
          <w:rFonts w:cstheme="minorHAnsi"/>
          <w:iCs/>
          <w:sz w:val="24"/>
          <w:szCs w:val="24"/>
          <w:lang w:val="uk-UA"/>
        </w:rPr>
        <w:t>, які включають розчи</w:t>
      </w:r>
      <w:r w:rsidR="00067077" w:rsidRPr="00A7439D">
        <w:rPr>
          <w:rFonts w:cstheme="minorHAnsi"/>
          <w:iCs/>
          <w:sz w:val="24"/>
          <w:szCs w:val="24"/>
          <w:lang w:val="uk-UA"/>
        </w:rPr>
        <w:t>стку</w:t>
      </w:r>
      <w:r w:rsidR="007E46ED" w:rsidRPr="00A7439D">
        <w:rPr>
          <w:rFonts w:cstheme="minorHAnsi"/>
          <w:iCs/>
          <w:sz w:val="24"/>
          <w:szCs w:val="24"/>
          <w:lang w:val="uk-UA"/>
        </w:rPr>
        <w:t xml:space="preserve"> русла річки </w:t>
      </w:r>
      <w:proofErr w:type="spellStart"/>
      <w:r w:rsidR="007E46ED"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="007E46ED" w:rsidRPr="00A7439D">
        <w:rPr>
          <w:rFonts w:cstheme="minorHAnsi"/>
          <w:iCs/>
          <w:sz w:val="24"/>
          <w:szCs w:val="24"/>
          <w:lang w:val="uk-UA"/>
        </w:rPr>
        <w:t xml:space="preserve"> від повалених дерев та побутового сміття протяжністю –</w:t>
      </w:r>
      <w:r w:rsidR="00C90C08" w:rsidRPr="00A7439D">
        <w:rPr>
          <w:rFonts w:cstheme="minorHAnsi"/>
          <w:iCs/>
          <w:sz w:val="24"/>
          <w:szCs w:val="24"/>
          <w:lang w:val="uk-UA"/>
        </w:rPr>
        <w:t xml:space="preserve"> 2,</w:t>
      </w:r>
      <w:r w:rsidR="007C03F4" w:rsidRPr="00A7439D">
        <w:rPr>
          <w:rFonts w:cstheme="minorHAnsi"/>
          <w:iCs/>
          <w:sz w:val="24"/>
          <w:szCs w:val="24"/>
          <w:lang w:val="uk-UA"/>
        </w:rPr>
        <w:t>7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км., у тому числі  розчистка </w:t>
      </w:r>
      <w:r w:rsidR="007E46ED" w:rsidRPr="00A7439D">
        <w:rPr>
          <w:rFonts w:cstheme="minorHAnsi"/>
          <w:iCs/>
          <w:sz w:val="24"/>
          <w:szCs w:val="24"/>
          <w:lang w:val="uk-UA"/>
        </w:rPr>
        <w:t>замулених ділянок</w:t>
      </w:r>
      <w:r w:rsidR="002826FB" w:rsidRPr="00A7439D">
        <w:rPr>
          <w:rFonts w:cstheme="minorHAnsi"/>
          <w:iCs/>
          <w:sz w:val="24"/>
          <w:szCs w:val="24"/>
          <w:lang w:val="uk-UA"/>
        </w:rPr>
        <w:t xml:space="preserve">. </w:t>
      </w:r>
      <w:r w:rsidR="00067077" w:rsidRPr="00A7439D">
        <w:rPr>
          <w:rFonts w:cstheme="minorHAnsi"/>
          <w:iCs/>
          <w:sz w:val="24"/>
          <w:szCs w:val="24"/>
          <w:lang w:val="uk-UA"/>
        </w:rPr>
        <w:t>Розчистка</w:t>
      </w:r>
      <w:r w:rsidR="00453E3F" w:rsidRPr="00A7439D">
        <w:rPr>
          <w:rFonts w:cstheme="minorHAnsi"/>
          <w:iCs/>
          <w:sz w:val="24"/>
          <w:szCs w:val="24"/>
          <w:lang w:val="uk-UA"/>
        </w:rPr>
        <w:t xml:space="preserve">  русла та заплави 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планується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 виконувати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екскав</w:t>
      </w:r>
      <w:r w:rsidR="00067077" w:rsidRPr="00A7439D">
        <w:rPr>
          <w:rFonts w:cstheme="minorHAnsi"/>
          <w:iCs/>
          <w:sz w:val="24"/>
          <w:szCs w:val="24"/>
          <w:lang w:val="uk-UA"/>
        </w:rPr>
        <w:t>аторами</w:t>
      </w:r>
      <w:r w:rsidR="00453E3F" w:rsidRPr="00A7439D">
        <w:rPr>
          <w:rFonts w:cstheme="minorHAnsi"/>
          <w:iCs/>
          <w:sz w:val="24"/>
          <w:szCs w:val="24"/>
          <w:lang w:val="uk-UA"/>
        </w:rPr>
        <w:t xml:space="preserve"> з виїмкою  наносів </w:t>
      </w:r>
      <w:r w:rsidR="002E453F" w:rsidRPr="00A7439D">
        <w:rPr>
          <w:rFonts w:cstheme="minorHAnsi"/>
          <w:iCs/>
          <w:sz w:val="24"/>
          <w:szCs w:val="24"/>
          <w:lang w:val="uk-UA"/>
        </w:rPr>
        <w:t>у відвал на просушку з подальш</w:t>
      </w:r>
      <w:r w:rsidR="00C90C08" w:rsidRPr="00A7439D">
        <w:rPr>
          <w:rFonts w:cstheme="minorHAnsi"/>
          <w:iCs/>
          <w:sz w:val="24"/>
          <w:szCs w:val="24"/>
          <w:lang w:val="uk-UA"/>
        </w:rPr>
        <w:t>им перевезенням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автотранспортом на </w:t>
      </w:r>
      <w:r w:rsidR="008A1108" w:rsidRPr="00A7439D">
        <w:rPr>
          <w:rFonts w:cstheme="minorHAnsi"/>
          <w:iCs/>
          <w:sz w:val="24"/>
          <w:szCs w:val="24"/>
          <w:lang w:val="uk-UA"/>
        </w:rPr>
        <w:t xml:space="preserve"> влаштування дамби або на постійне місце складування.</w:t>
      </w:r>
      <w:r w:rsidR="002826FB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067077" w:rsidRPr="00A7439D">
        <w:rPr>
          <w:rFonts w:cstheme="minorHAnsi"/>
          <w:iCs/>
          <w:sz w:val="24"/>
          <w:szCs w:val="24"/>
          <w:lang w:val="uk-UA"/>
        </w:rPr>
        <w:t>Кріплення берега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планується 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виконати 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з 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влаштування </w:t>
      </w:r>
      <w:proofErr w:type="spellStart"/>
      <w:r w:rsidR="00067077" w:rsidRPr="00A7439D">
        <w:rPr>
          <w:rFonts w:cstheme="minorHAnsi"/>
          <w:iCs/>
          <w:sz w:val="24"/>
          <w:szCs w:val="24"/>
          <w:lang w:val="uk-UA"/>
        </w:rPr>
        <w:t>кам’я</w:t>
      </w:r>
      <w:r w:rsidR="002E453F" w:rsidRPr="00A7439D">
        <w:rPr>
          <w:rFonts w:cstheme="minorHAnsi"/>
          <w:iCs/>
          <w:sz w:val="24"/>
          <w:szCs w:val="24"/>
          <w:lang w:val="uk-UA"/>
        </w:rPr>
        <w:t>н</w:t>
      </w:r>
      <w:r w:rsidR="008A1108" w:rsidRPr="00A7439D">
        <w:rPr>
          <w:rFonts w:cstheme="minorHAnsi"/>
          <w:iCs/>
          <w:sz w:val="24"/>
          <w:szCs w:val="24"/>
          <w:lang w:val="uk-UA"/>
        </w:rPr>
        <w:t>н</w:t>
      </w:r>
      <w:r w:rsidR="002E453F" w:rsidRPr="00A7439D">
        <w:rPr>
          <w:rFonts w:cstheme="minorHAnsi"/>
          <w:iCs/>
          <w:sz w:val="24"/>
          <w:szCs w:val="24"/>
          <w:lang w:val="uk-UA"/>
        </w:rPr>
        <w:t>ої</w:t>
      </w:r>
      <w:proofErr w:type="spellEnd"/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призми упору</w:t>
      </w:r>
      <w:r w:rsidR="00453E3F" w:rsidRPr="00A7439D">
        <w:rPr>
          <w:rFonts w:cstheme="minorHAnsi"/>
          <w:iCs/>
          <w:sz w:val="24"/>
          <w:szCs w:val="24"/>
          <w:lang w:val="uk-UA"/>
        </w:rPr>
        <w:t xml:space="preserve"> з </w:t>
      </w:r>
      <w:r w:rsidR="00C90C08" w:rsidRPr="00A7439D">
        <w:rPr>
          <w:rFonts w:cstheme="minorHAnsi"/>
          <w:iCs/>
          <w:sz w:val="24"/>
          <w:szCs w:val="24"/>
          <w:lang w:val="uk-UA"/>
        </w:rPr>
        <w:t xml:space="preserve">негабаритного </w:t>
      </w:r>
      <w:r w:rsidR="00453E3F" w:rsidRPr="00A7439D">
        <w:rPr>
          <w:rFonts w:cstheme="minorHAnsi"/>
          <w:iCs/>
          <w:sz w:val="24"/>
          <w:szCs w:val="24"/>
          <w:lang w:val="uk-UA"/>
        </w:rPr>
        <w:t>каменю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та </w:t>
      </w:r>
      <w:proofErr w:type="spellStart"/>
      <w:r w:rsidR="002E453F" w:rsidRPr="00A7439D">
        <w:rPr>
          <w:rFonts w:cstheme="minorHAnsi"/>
          <w:iCs/>
          <w:sz w:val="24"/>
          <w:szCs w:val="24"/>
          <w:lang w:val="uk-UA"/>
        </w:rPr>
        <w:t>кам</w:t>
      </w:r>
      <w:r w:rsidR="00067077" w:rsidRPr="00A7439D">
        <w:rPr>
          <w:rFonts w:cstheme="minorHAnsi"/>
          <w:iCs/>
          <w:sz w:val="24"/>
          <w:szCs w:val="24"/>
          <w:lang w:val="uk-UA"/>
        </w:rPr>
        <w:t>’я</w:t>
      </w:r>
      <w:r w:rsidR="002E453F" w:rsidRPr="00A7439D">
        <w:rPr>
          <w:rFonts w:cstheme="minorHAnsi"/>
          <w:iCs/>
          <w:sz w:val="24"/>
          <w:szCs w:val="24"/>
          <w:lang w:val="uk-UA"/>
        </w:rPr>
        <w:t>нним</w:t>
      </w:r>
      <w:proofErr w:type="spellEnd"/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мостінням укосі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в дамби </w:t>
      </w:r>
      <w:r w:rsidR="002E453F" w:rsidRPr="00A7439D">
        <w:rPr>
          <w:rFonts w:cstheme="minorHAnsi"/>
          <w:iCs/>
          <w:sz w:val="24"/>
          <w:szCs w:val="24"/>
          <w:lang w:val="uk-UA"/>
        </w:rPr>
        <w:t xml:space="preserve">з влаштуванням </w:t>
      </w:r>
      <w:proofErr w:type="spellStart"/>
      <w:r w:rsidR="002E453F" w:rsidRPr="00A7439D">
        <w:rPr>
          <w:rFonts w:cstheme="minorHAnsi"/>
          <w:iCs/>
          <w:sz w:val="24"/>
          <w:szCs w:val="24"/>
          <w:lang w:val="uk-UA"/>
        </w:rPr>
        <w:t>напівзагат</w:t>
      </w:r>
      <w:proofErr w:type="spellEnd"/>
      <w:r w:rsidR="002E453F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8A1108" w:rsidRPr="00A7439D">
        <w:rPr>
          <w:rFonts w:cstheme="minorHAnsi"/>
          <w:iCs/>
          <w:sz w:val="24"/>
          <w:szCs w:val="24"/>
          <w:lang w:val="uk-UA"/>
        </w:rPr>
        <w:t xml:space="preserve">в кількості </w:t>
      </w:r>
      <w:r w:rsidR="00067077" w:rsidRPr="00A7439D">
        <w:rPr>
          <w:rFonts w:cstheme="minorHAnsi"/>
          <w:iCs/>
          <w:sz w:val="24"/>
          <w:szCs w:val="24"/>
          <w:lang w:val="uk-UA"/>
        </w:rPr>
        <w:t>згідно розрахунку.</w:t>
      </w:r>
    </w:p>
    <w:p w:rsidR="00C90C08" w:rsidRPr="00A7439D" w:rsidRDefault="00B65F28" w:rsidP="007C03F4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t>ІІ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r w:rsidR="003151FE" w:rsidRPr="00A7439D">
        <w:rPr>
          <w:rFonts w:cstheme="minorHAnsi"/>
          <w:iCs/>
          <w:sz w:val="24"/>
          <w:szCs w:val="24"/>
          <w:lang w:val="uk-UA"/>
        </w:rPr>
        <w:t>г</w:t>
      </w:r>
      <w:r w:rsidR="00C90C08" w:rsidRPr="00A7439D">
        <w:rPr>
          <w:rFonts w:cstheme="minorHAnsi"/>
          <w:iCs/>
          <w:sz w:val="24"/>
          <w:szCs w:val="24"/>
          <w:lang w:val="uk-UA"/>
        </w:rPr>
        <w:t xml:space="preserve">ою чергою 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передбачено виконання </w:t>
      </w:r>
      <w:r w:rsidR="003151FE" w:rsidRPr="00A7439D">
        <w:rPr>
          <w:rFonts w:cstheme="minorHAnsi"/>
          <w:iCs/>
          <w:sz w:val="24"/>
          <w:szCs w:val="24"/>
          <w:lang w:val="uk-UA"/>
        </w:rPr>
        <w:t>робіт по реконструкції  дамби т</w:t>
      </w:r>
      <w:r w:rsidR="00C90C08" w:rsidRPr="00A7439D">
        <w:rPr>
          <w:rFonts w:cstheme="minorHAnsi"/>
          <w:iCs/>
          <w:sz w:val="24"/>
          <w:szCs w:val="24"/>
          <w:lang w:val="uk-UA"/>
        </w:rPr>
        <w:t>а кріплення берега</w:t>
      </w:r>
      <w:r w:rsidR="0082313C" w:rsidRPr="00A7439D">
        <w:rPr>
          <w:rFonts w:cstheme="minorHAnsi"/>
          <w:iCs/>
          <w:sz w:val="24"/>
          <w:szCs w:val="24"/>
          <w:lang w:val="uk-UA"/>
        </w:rPr>
        <w:t xml:space="preserve"> по довжині</w:t>
      </w:r>
      <w:r w:rsidR="00597783" w:rsidRPr="00A7439D">
        <w:rPr>
          <w:rFonts w:cstheme="minorHAnsi"/>
          <w:iCs/>
          <w:sz w:val="24"/>
          <w:szCs w:val="24"/>
          <w:lang w:val="uk-UA"/>
        </w:rPr>
        <w:t xml:space="preserve"> 1,7</w:t>
      </w:r>
      <w:r w:rsidR="00067077" w:rsidRPr="00A7439D">
        <w:rPr>
          <w:rFonts w:cstheme="minorHAnsi"/>
          <w:iCs/>
          <w:sz w:val="24"/>
          <w:szCs w:val="24"/>
          <w:lang w:val="uk-UA"/>
        </w:rPr>
        <w:t>км</w:t>
      </w:r>
      <w:r w:rsidR="00C90C08" w:rsidRPr="00A7439D">
        <w:rPr>
          <w:rFonts w:cstheme="minorHAnsi"/>
          <w:iCs/>
          <w:sz w:val="24"/>
          <w:szCs w:val="24"/>
          <w:lang w:val="uk-UA"/>
        </w:rPr>
        <w:t>.</w:t>
      </w:r>
      <w:r w:rsidR="00067077" w:rsidRPr="00A7439D">
        <w:rPr>
          <w:rFonts w:cstheme="minorHAnsi"/>
          <w:iCs/>
          <w:sz w:val="24"/>
          <w:szCs w:val="24"/>
          <w:lang w:val="uk-UA"/>
        </w:rPr>
        <w:t>, регулю</w:t>
      </w:r>
      <w:r w:rsidR="007C03F4" w:rsidRPr="00A7439D">
        <w:rPr>
          <w:rFonts w:cstheme="minorHAnsi"/>
          <w:iCs/>
          <w:sz w:val="24"/>
          <w:szCs w:val="24"/>
          <w:lang w:val="uk-UA"/>
        </w:rPr>
        <w:t xml:space="preserve">вання русла </w:t>
      </w:r>
      <w:r w:rsidR="00597783" w:rsidRPr="00A7439D">
        <w:rPr>
          <w:rFonts w:cstheme="minorHAnsi"/>
          <w:iCs/>
          <w:sz w:val="24"/>
          <w:szCs w:val="24"/>
          <w:lang w:val="uk-UA"/>
        </w:rPr>
        <w:t>річки протяжністю 1,7</w:t>
      </w:r>
      <w:r w:rsidR="003151FE" w:rsidRPr="00A7439D">
        <w:rPr>
          <w:rFonts w:cstheme="minorHAnsi"/>
          <w:iCs/>
          <w:sz w:val="24"/>
          <w:szCs w:val="24"/>
          <w:lang w:val="uk-UA"/>
        </w:rPr>
        <w:t>к</w:t>
      </w:r>
      <w:r w:rsidR="00067077" w:rsidRPr="00A7439D">
        <w:rPr>
          <w:rFonts w:cstheme="minorHAnsi"/>
          <w:iCs/>
          <w:sz w:val="24"/>
          <w:szCs w:val="24"/>
          <w:lang w:val="uk-UA"/>
        </w:rPr>
        <w:t>м</w:t>
      </w:r>
      <w:r w:rsidR="00C90C08" w:rsidRPr="00A7439D">
        <w:rPr>
          <w:rFonts w:cstheme="minorHAnsi"/>
          <w:iCs/>
          <w:sz w:val="24"/>
          <w:szCs w:val="24"/>
          <w:lang w:val="uk-UA"/>
        </w:rPr>
        <w:t>.</w:t>
      </w:r>
      <w:r w:rsidR="00067077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BD3052" w:rsidRPr="00A7439D">
        <w:rPr>
          <w:rFonts w:cstheme="minorHAnsi"/>
          <w:iCs/>
          <w:sz w:val="24"/>
          <w:szCs w:val="24"/>
          <w:lang w:val="uk-UA"/>
        </w:rPr>
        <w:t>вверх по течії рі</w:t>
      </w:r>
      <w:r w:rsidR="00C90C08" w:rsidRPr="00A7439D">
        <w:rPr>
          <w:rFonts w:cstheme="minorHAnsi"/>
          <w:iCs/>
          <w:sz w:val="24"/>
          <w:szCs w:val="24"/>
          <w:lang w:val="uk-UA"/>
        </w:rPr>
        <w:t>ч</w:t>
      </w:r>
      <w:r w:rsidR="003151FE" w:rsidRPr="00A7439D">
        <w:rPr>
          <w:rFonts w:cstheme="minorHAnsi"/>
          <w:iCs/>
          <w:sz w:val="24"/>
          <w:szCs w:val="24"/>
          <w:lang w:val="uk-UA"/>
        </w:rPr>
        <w:t xml:space="preserve">ки </w:t>
      </w:r>
      <w:proofErr w:type="spellStart"/>
      <w:r w:rsidR="007C03F4"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="007C03F4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C90C08" w:rsidRPr="00A7439D">
        <w:rPr>
          <w:rFonts w:cstheme="minorHAnsi"/>
          <w:iCs/>
          <w:sz w:val="24"/>
          <w:szCs w:val="24"/>
          <w:lang w:val="uk-UA"/>
        </w:rPr>
        <w:t xml:space="preserve">(Ділянка </w:t>
      </w:r>
      <w:r w:rsidR="00A30331" w:rsidRPr="00A7439D">
        <w:rPr>
          <w:rFonts w:cstheme="minorHAnsi"/>
          <w:iCs/>
          <w:sz w:val="24"/>
          <w:szCs w:val="24"/>
          <w:lang w:val="uk-UA"/>
        </w:rPr>
        <w:t>№2</w:t>
      </w:r>
      <w:r w:rsidR="00C90C08" w:rsidRPr="00A7439D">
        <w:rPr>
          <w:rFonts w:cstheme="minorHAnsi"/>
          <w:iCs/>
          <w:sz w:val="24"/>
          <w:szCs w:val="24"/>
          <w:lang w:val="uk-UA"/>
        </w:rPr>
        <w:t>). Технологію робіт планується проводити аналогічно І</w:t>
      </w:r>
      <w:r w:rsidR="00211CB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proofErr w:type="spellStart"/>
      <w:r w:rsidR="00C90C08" w:rsidRPr="00A7439D">
        <w:rPr>
          <w:rFonts w:cstheme="minorHAnsi"/>
          <w:iCs/>
          <w:sz w:val="24"/>
          <w:szCs w:val="24"/>
          <w:lang w:val="uk-UA"/>
        </w:rPr>
        <w:t>шій</w:t>
      </w:r>
      <w:proofErr w:type="spellEnd"/>
      <w:r w:rsidR="00C90C08" w:rsidRPr="00A7439D">
        <w:rPr>
          <w:rFonts w:cstheme="minorHAnsi"/>
          <w:iCs/>
          <w:sz w:val="24"/>
          <w:szCs w:val="24"/>
          <w:lang w:val="uk-UA"/>
        </w:rPr>
        <w:t xml:space="preserve"> черзі.</w:t>
      </w:r>
    </w:p>
    <w:p w:rsidR="004C1117" w:rsidRPr="00A7439D" w:rsidRDefault="00C90C08" w:rsidP="00211CB7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t xml:space="preserve">ІІІ – </w:t>
      </w:r>
      <w:r w:rsidR="003151FE" w:rsidRPr="00A7439D">
        <w:rPr>
          <w:rFonts w:cstheme="minorHAnsi"/>
          <w:iCs/>
          <w:sz w:val="24"/>
          <w:szCs w:val="24"/>
          <w:lang w:val="uk-UA"/>
        </w:rPr>
        <w:t xml:space="preserve">гою чергою </w:t>
      </w:r>
      <w:r w:rsidRPr="00A7439D">
        <w:rPr>
          <w:rFonts w:cstheme="minorHAnsi"/>
          <w:iCs/>
          <w:sz w:val="24"/>
          <w:szCs w:val="24"/>
          <w:lang w:val="uk-UA"/>
        </w:rPr>
        <w:t xml:space="preserve"> передбачено виконання </w:t>
      </w:r>
      <w:r w:rsidR="003151FE" w:rsidRPr="00A7439D">
        <w:rPr>
          <w:rFonts w:cstheme="minorHAnsi"/>
          <w:iCs/>
          <w:sz w:val="24"/>
          <w:szCs w:val="24"/>
          <w:lang w:val="uk-UA"/>
        </w:rPr>
        <w:t xml:space="preserve">робіт по реконструкції  дамби та </w:t>
      </w:r>
      <w:r w:rsidRPr="00A7439D">
        <w:rPr>
          <w:rFonts w:cstheme="minorHAnsi"/>
          <w:iCs/>
          <w:sz w:val="24"/>
          <w:szCs w:val="24"/>
          <w:lang w:val="uk-UA"/>
        </w:rPr>
        <w:t>кріплення берега</w:t>
      </w:r>
      <w:r w:rsidR="00A30331" w:rsidRPr="00A7439D">
        <w:rPr>
          <w:rFonts w:cstheme="minorHAnsi"/>
          <w:iCs/>
          <w:sz w:val="24"/>
          <w:szCs w:val="24"/>
          <w:lang w:val="uk-UA"/>
        </w:rPr>
        <w:t xml:space="preserve"> по довжині</w:t>
      </w:r>
      <w:r w:rsidR="005442D5"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Pr="00A7439D">
        <w:rPr>
          <w:rFonts w:cstheme="minorHAnsi"/>
          <w:iCs/>
          <w:sz w:val="24"/>
          <w:szCs w:val="24"/>
          <w:lang w:val="uk-UA"/>
        </w:rPr>
        <w:t>1,</w:t>
      </w:r>
      <w:r w:rsidR="007C03F4" w:rsidRPr="00A7439D">
        <w:rPr>
          <w:rFonts w:cstheme="minorHAnsi"/>
          <w:iCs/>
          <w:sz w:val="24"/>
          <w:szCs w:val="24"/>
          <w:lang w:val="uk-UA"/>
        </w:rPr>
        <w:t>5</w:t>
      </w:r>
      <w:r w:rsidR="003151FE" w:rsidRPr="00A7439D">
        <w:rPr>
          <w:rFonts w:cstheme="minorHAnsi"/>
          <w:iCs/>
          <w:sz w:val="24"/>
          <w:szCs w:val="24"/>
          <w:lang w:val="uk-UA"/>
        </w:rPr>
        <w:t>км</w:t>
      </w:r>
      <w:r w:rsidRPr="00A7439D">
        <w:rPr>
          <w:rFonts w:cstheme="minorHAnsi"/>
          <w:iCs/>
          <w:sz w:val="24"/>
          <w:szCs w:val="24"/>
          <w:lang w:val="uk-UA"/>
        </w:rPr>
        <w:t xml:space="preserve">., </w:t>
      </w:r>
      <w:r w:rsidR="003151FE" w:rsidRPr="00A7439D">
        <w:rPr>
          <w:rFonts w:cstheme="minorHAnsi"/>
          <w:iCs/>
          <w:sz w:val="24"/>
          <w:szCs w:val="24"/>
          <w:lang w:val="uk-UA"/>
        </w:rPr>
        <w:t>регулюванн</w:t>
      </w:r>
      <w:r w:rsidRPr="00A7439D">
        <w:rPr>
          <w:rFonts w:cstheme="minorHAnsi"/>
          <w:iCs/>
          <w:sz w:val="24"/>
          <w:szCs w:val="24"/>
          <w:lang w:val="uk-UA"/>
        </w:rPr>
        <w:t>я русла річки протяжністю 1,</w:t>
      </w:r>
      <w:r w:rsidR="007C03F4" w:rsidRPr="00A7439D">
        <w:rPr>
          <w:rFonts w:cstheme="minorHAnsi"/>
          <w:iCs/>
          <w:sz w:val="24"/>
          <w:szCs w:val="24"/>
          <w:lang w:val="uk-UA"/>
        </w:rPr>
        <w:t>5</w:t>
      </w:r>
      <w:r w:rsidR="003151FE" w:rsidRPr="00A7439D">
        <w:rPr>
          <w:rFonts w:cstheme="minorHAnsi"/>
          <w:iCs/>
          <w:sz w:val="24"/>
          <w:szCs w:val="24"/>
          <w:lang w:val="uk-UA"/>
        </w:rPr>
        <w:t>км</w:t>
      </w:r>
      <w:r w:rsidRPr="00A7439D">
        <w:rPr>
          <w:rFonts w:cstheme="minorHAnsi"/>
          <w:iCs/>
          <w:sz w:val="24"/>
          <w:szCs w:val="24"/>
          <w:lang w:val="uk-UA"/>
        </w:rPr>
        <w:t>. вверх по течії річ</w:t>
      </w:r>
      <w:r w:rsidR="003151FE" w:rsidRPr="00A7439D">
        <w:rPr>
          <w:rFonts w:cstheme="minorHAnsi"/>
          <w:iCs/>
          <w:sz w:val="24"/>
          <w:szCs w:val="24"/>
          <w:lang w:val="uk-UA"/>
        </w:rPr>
        <w:t xml:space="preserve">ки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A30331" w:rsidRPr="00A7439D">
        <w:rPr>
          <w:rFonts w:cstheme="minorHAnsi"/>
          <w:iCs/>
          <w:sz w:val="24"/>
          <w:szCs w:val="24"/>
          <w:lang w:val="uk-UA"/>
        </w:rPr>
        <w:t>до з</w:t>
      </w:r>
      <w:r w:rsidRPr="00A7439D">
        <w:rPr>
          <w:rFonts w:cstheme="minorHAnsi"/>
          <w:iCs/>
          <w:sz w:val="24"/>
          <w:szCs w:val="24"/>
          <w:lang w:val="uk-UA"/>
        </w:rPr>
        <w:t>’</w:t>
      </w:r>
      <w:r w:rsidR="00A30331" w:rsidRPr="00A7439D">
        <w:rPr>
          <w:rFonts w:cstheme="minorHAnsi"/>
          <w:iCs/>
          <w:sz w:val="24"/>
          <w:szCs w:val="24"/>
          <w:lang w:val="uk-UA"/>
        </w:rPr>
        <w:t xml:space="preserve">єднання </w:t>
      </w:r>
      <w:r w:rsidRPr="00A7439D">
        <w:rPr>
          <w:rFonts w:cstheme="minorHAnsi"/>
          <w:iCs/>
          <w:sz w:val="24"/>
          <w:szCs w:val="24"/>
          <w:lang w:val="uk-UA"/>
        </w:rPr>
        <w:t>з існуючою дамбою (Ділянка</w:t>
      </w:r>
      <w:r w:rsidR="00D01649" w:rsidRPr="00A7439D">
        <w:rPr>
          <w:rFonts w:cstheme="minorHAnsi"/>
          <w:iCs/>
          <w:sz w:val="24"/>
          <w:szCs w:val="24"/>
          <w:lang w:val="uk-UA"/>
        </w:rPr>
        <w:t xml:space="preserve"> №3</w:t>
      </w:r>
      <w:r w:rsidRPr="00A7439D">
        <w:rPr>
          <w:rFonts w:cstheme="minorHAnsi"/>
          <w:iCs/>
          <w:sz w:val="24"/>
          <w:szCs w:val="24"/>
          <w:lang w:val="uk-UA"/>
        </w:rPr>
        <w:t>)</w:t>
      </w:r>
      <w:r w:rsidR="00D01649" w:rsidRPr="00A7439D">
        <w:rPr>
          <w:rFonts w:cstheme="minorHAnsi"/>
          <w:iCs/>
          <w:sz w:val="24"/>
          <w:szCs w:val="24"/>
          <w:lang w:val="uk-UA"/>
        </w:rPr>
        <w:t>.</w:t>
      </w:r>
      <w:r w:rsidRPr="00A7439D">
        <w:rPr>
          <w:rFonts w:cstheme="minorHAnsi"/>
          <w:iCs/>
          <w:sz w:val="24"/>
          <w:szCs w:val="24"/>
          <w:lang w:val="uk-UA"/>
        </w:rPr>
        <w:t xml:space="preserve"> </w:t>
      </w:r>
      <w:r w:rsidR="00453E3F" w:rsidRPr="00A7439D">
        <w:rPr>
          <w:rFonts w:cstheme="minorHAnsi"/>
          <w:iCs/>
          <w:sz w:val="24"/>
          <w:szCs w:val="24"/>
          <w:lang w:val="uk-UA"/>
        </w:rPr>
        <w:t>Роботи планується проводити аналогічно І</w:t>
      </w:r>
      <w:r w:rsidR="00211CB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proofErr w:type="spellStart"/>
      <w:r w:rsidR="00453E3F" w:rsidRPr="00A7439D">
        <w:rPr>
          <w:rFonts w:cstheme="minorHAnsi"/>
          <w:iCs/>
          <w:sz w:val="24"/>
          <w:szCs w:val="24"/>
          <w:lang w:val="uk-UA"/>
        </w:rPr>
        <w:t>шій</w:t>
      </w:r>
      <w:proofErr w:type="spellEnd"/>
      <w:r w:rsidR="00453E3F" w:rsidRPr="00A7439D">
        <w:rPr>
          <w:rFonts w:cstheme="minorHAnsi"/>
          <w:iCs/>
          <w:sz w:val="24"/>
          <w:szCs w:val="24"/>
          <w:lang w:val="uk-UA"/>
        </w:rPr>
        <w:t xml:space="preserve"> черзі.</w:t>
      </w:r>
      <w:r w:rsidR="004C1117" w:rsidRPr="00A7439D">
        <w:rPr>
          <w:rFonts w:cstheme="minorHAnsi"/>
          <w:sz w:val="24"/>
          <w:szCs w:val="24"/>
          <w:lang w:val="uk-UA"/>
        </w:rPr>
        <w:t xml:space="preserve"> </w:t>
      </w:r>
    </w:p>
    <w:p w:rsidR="00C90C08" w:rsidRPr="00A7439D" w:rsidRDefault="00A53E0C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Технічна альтернатива 1</w:t>
      </w:r>
    </w:p>
    <w:p w:rsidR="0065157B" w:rsidRPr="00A7439D" w:rsidRDefault="0065157B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Реконструкція лівобережної дамби з кріпленням берега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габіонними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каркасними ящиками</w:t>
      </w:r>
      <w:r w:rsidR="00886A25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основи та укосу дамби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– такий тип кріплення є одним з найбільш фінансово затратним, оскільки вимагає використання значних обсягів каміння, арматури та сітки, тривалого терміну будівництва</w:t>
      </w:r>
      <w:r w:rsidR="00886A25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а також є не довготривалим в плані експлуатації. </w:t>
      </w:r>
    </w:p>
    <w:p w:rsidR="00B65F28" w:rsidRPr="00A7439D" w:rsidRDefault="00B65F28" w:rsidP="00211CB7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Технічна  альтернатива 2</w:t>
      </w:r>
      <w:r w:rsidR="00C90C0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- </w:t>
      </w: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Не розглядається</w:t>
      </w:r>
      <w:r w:rsidR="00C90C08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.</w:t>
      </w:r>
    </w:p>
    <w:p w:rsidR="00273030" w:rsidRPr="00A7439D" w:rsidRDefault="00273030" w:rsidP="00211CB7">
      <w:pPr>
        <w:pStyle w:val="20"/>
        <w:shd w:val="clear" w:color="auto" w:fill="auto"/>
        <w:spacing w:after="0" w:line="240" w:lineRule="auto"/>
        <w:ind w:right="-1" w:firstLine="560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</w:p>
    <w:p w:rsidR="004C1117" w:rsidRPr="00A7439D" w:rsidRDefault="006300DB" w:rsidP="00211CB7">
      <w:pPr>
        <w:pStyle w:val="60"/>
        <w:shd w:val="clear" w:color="auto" w:fill="auto"/>
        <w:tabs>
          <w:tab w:val="left" w:pos="86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3</w:t>
      </w:r>
      <w:r w:rsidR="00046A92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="00C90C08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Місце провадження планованої діяльності, територіальні альтернативи.</w:t>
      </w:r>
    </w:p>
    <w:p w:rsidR="00273030" w:rsidRPr="00A7439D" w:rsidRDefault="004C1117" w:rsidP="00211CB7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Місце провадження планованої діяльності:</w:t>
      </w:r>
    </w:p>
    <w:p w:rsidR="0015550A" w:rsidRPr="00A7439D" w:rsidRDefault="004C1117" w:rsidP="001F1C0B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У межах та по за межами с. Руське Поле в зоні прибережної  захисної смуги  річки  на землях водного фонду  Тячівського  району</w:t>
      </w:r>
      <w:r w:rsidR="0015550A" w:rsidRPr="00A7439D">
        <w:rPr>
          <w:rFonts w:asciiTheme="minorHAnsi" w:hAnsiTheme="minorHAnsi" w:cstheme="minorHAnsi"/>
          <w:sz w:val="24"/>
          <w:szCs w:val="24"/>
          <w:lang w:val="uk-UA"/>
        </w:rPr>
        <w:t>,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Закарпатської області</w:t>
      </w:r>
      <w:r w:rsidR="00D01649" w:rsidRPr="00A7439D">
        <w:rPr>
          <w:rFonts w:asciiTheme="minorHAnsi" w:hAnsiTheme="minorHAnsi" w:cstheme="minorHAnsi"/>
          <w:sz w:val="24"/>
          <w:szCs w:val="24"/>
          <w:lang w:val="uk-UA"/>
        </w:rPr>
        <w:t>.</w:t>
      </w:r>
    </w:p>
    <w:p w:rsidR="00886A25" w:rsidRPr="00A7439D" w:rsidRDefault="00211CB7" w:rsidP="00211CB7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Територіальна  альтернатива 1 – 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Не розглядається</w:t>
      </w:r>
    </w:p>
    <w:p w:rsidR="00B65F28" w:rsidRPr="00A7439D" w:rsidRDefault="00B65F28" w:rsidP="00211CB7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Територіальна  альтернатива 2</w:t>
      </w:r>
      <w:r w:rsidR="0015550A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– 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Не розглядається</w:t>
      </w:r>
    </w:p>
    <w:p w:rsidR="0015550A" w:rsidRPr="00A7439D" w:rsidRDefault="0015550A" w:rsidP="00211CB7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:rsidR="0015550A" w:rsidRPr="00A7439D" w:rsidRDefault="006300DB" w:rsidP="00211CB7">
      <w:pPr>
        <w:pStyle w:val="60"/>
        <w:shd w:val="clear" w:color="auto" w:fill="auto"/>
        <w:tabs>
          <w:tab w:val="left" w:pos="86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4</w:t>
      </w:r>
      <w:r w:rsidR="00046A92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="0015550A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Соціально</w:t>
      </w:r>
      <w:r w:rsidR="0015550A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–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економічний вплив планованої діяльності</w:t>
      </w:r>
    </w:p>
    <w:p w:rsidR="004C1117" w:rsidRPr="00A7439D" w:rsidRDefault="004C1117" w:rsidP="00211CB7">
      <w:pPr>
        <w:pStyle w:val="60"/>
        <w:shd w:val="clear" w:color="auto" w:fill="auto"/>
        <w:tabs>
          <w:tab w:val="left" w:pos="86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Реалізація планованої діяльності буде сприяти покращенню гідрологічно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го режиму, санітарного стану р. </w:t>
      </w:r>
      <w:proofErr w:type="spellStart"/>
      <w:r w:rsidRPr="00A7439D">
        <w:rPr>
          <w:rFonts w:asciiTheme="minorHAnsi" w:hAnsiTheme="minorHAnsi" w:cstheme="minorHAnsi"/>
          <w:sz w:val="24"/>
          <w:szCs w:val="24"/>
          <w:lang w:val="uk-UA"/>
        </w:rPr>
        <w:t>Теребля</w:t>
      </w:r>
      <w:proofErr w:type="spellEnd"/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, а 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>будівництво захисної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дамб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>и з одночасним кріпленням берега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сприяє захисту 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від шкідливої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дії вод населеного пункту</w:t>
      </w:r>
      <w:r w:rsidR="00AA11D9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з населенням 4800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AA11D9" w:rsidRPr="00A7439D">
        <w:rPr>
          <w:rFonts w:asciiTheme="minorHAnsi" w:hAnsiTheme="minorHAnsi" w:cstheme="minorHAnsi"/>
          <w:sz w:val="24"/>
          <w:szCs w:val="24"/>
          <w:lang w:val="uk-UA"/>
        </w:rPr>
        <w:t>осіб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, 1593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га сільськогосподарських угідь, об’єкти народногос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>подарського комплексу, інженерної інфраструктури та комунікацій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, створить надійний захист населеного пункту, безпечні умови для життєдіяльності населення та функціонування народногосподарського комплексу, дозволить запобігти розвитку не</w:t>
      </w:r>
      <w:r w:rsidR="00301460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сприятливих екзогенних процесів, 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тощо.</w:t>
      </w:r>
    </w:p>
    <w:p w:rsidR="0015550A" w:rsidRPr="00A7439D" w:rsidRDefault="0015550A" w:rsidP="00211CB7">
      <w:pPr>
        <w:pStyle w:val="60"/>
        <w:shd w:val="clear" w:color="auto" w:fill="auto"/>
        <w:tabs>
          <w:tab w:val="left" w:pos="86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4C1117" w:rsidRPr="00A7439D" w:rsidRDefault="006300DB" w:rsidP="00211CB7">
      <w:pPr>
        <w:pStyle w:val="60"/>
        <w:shd w:val="clear" w:color="auto" w:fill="auto"/>
        <w:tabs>
          <w:tab w:val="left" w:pos="822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5</w:t>
      </w:r>
      <w:r w:rsidR="00046A92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="0015550A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Загальні технічні характеристики, у тому числі параметри планованої </w:t>
      </w:r>
      <w:r w:rsidR="004C1117" w:rsidRPr="00A7439D">
        <w:rPr>
          <w:rStyle w:val="69"/>
          <w:rFonts w:asciiTheme="minorHAnsi" w:hAnsiTheme="minorHAnsi" w:cstheme="minorHAnsi"/>
          <w:b/>
          <w:sz w:val="24"/>
          <w:szCs w:val="24"/>
        </w:rPr>
        <w:t xml:space="preserve">діяльності </w:t>
      </w:r>
      <w:r w:rsidR="004C1117" w:rsidRPr="00A7439D">
        <w:rPr>
          <w:rFonts w:asciiTheme="minorHAnsi" w:hAnsiTheme="minorHAnsi" w:cstheme="minorHAnsi"/>
          <w:b/>
          <w:sz w:val="24"/>
          <w:szCs w:val="24"/>
          <w:lang w:val="uk-UA"/>
        </w:rPr>
        <w:t>(потужність, довжина, площа, обсяг виробництва тощо)</w:t>
      </w:r>
    </w:p>
    <w:p w:rsidR="0015550A" w:rsidRPr="00A7439D" w:rsidRDefault="0015550A" w:rsidP="00211CB7">
      <w:pPr>
        <w:pStyle w:val="60"/>
        <w:shd w:val="clear" w:color="auto" w:fill="auto"/>
        <w:tabs>
          <w:tab w:val="left" w:pos="822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301460" w:rsidRPr="00A7439D" w:rsidRDefault="00301460" w:rsidP="00211CB7">
      <w:pPr>
        <w:pStyle w:val="20"/>
        <w:shd w:val="clear" w:color="auto" w:fill="auto"/>
        <w:spacing w:after="0" w:line="240" w:lineRule="auto"/>
        <w:ind w:right="-1" w:firstLine="580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Дані робити передбачають:</w:t>
      </w:r>
    </w:p>
    <w:p w:rsidR="00301460" w:rsidRPr="00A7439D" w:rsidRDefault="00301460" w:rsidP="00211CB7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реконструкцію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лівобережної  захи</w:t>
      </w:r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сної дамби р.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proofErr w:type="spellStart"/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="00D0164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загальною </w:t>
      </w:r>
      <w:r w:rsidR="00597783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довжиною 59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00 м,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кріплення берега р. </w:t>
      </w:r>
      <w:proofErr w:type="spellStart"/>
      <w:r w:rsidR="00453E3F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</w:t>
      </w:r>
      <w:r w:rsidR="007C03F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597783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59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00 м та регулювання русла річки </w:t>
      </w:r>
      <w:proofErr w:type="spellStart"/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на довжині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="00597783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59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00</w:t>
      </w:r>
      <w:r w:rsidR="0027303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м,</w:t>
      </w:r>
    </w:p>
    <w:p w:rsidR="005A192C" w:rsidRPr="00A7439D" w:rsidRDefault="00273030" w:rsidP="00211CB7">
      <w:pPr>
        <w:pStyle w:val="20"/>
        <w:numPr>
          <w:ilvl w:val="0"/>
          <w:numId w:val="8"/>
        </w:numPr>
        <w:shd w:val="clear" w:color="auto" w:fill="auto"/>
        <w:spacing w:after="0" w:line="240" w:lineRule="auto"/>
        <w:ind w:left="0"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2</w:t>
      </w:r>
      <w:r w:rsidR="003014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="00AA11D9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х</w:t>
      </w:r>
      <w:r w:rsidR="00301460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водовипускних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споруд  у три черги будівництва:</w:t>
      </w:r>
    </w:p>
    <w:p w:rsidR="00301460" w:rsidRPr="00A7439D" w:rsidRDefault="00301460" w:rsidP="00211CB7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t xml:space="preserve">І –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шою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 чергою передбачено виконання робіт по реконструкції дамби з </w:t>
      </w:r>
      <w:r w:rsidR="007C03F4" w:rsidRPr="00A7439D">
        <w:rPr>
          <w:rFonts w:cstheme="minorHAnsi"/>
          <w:iCs/>
          <w:sz w:val="24"/>
          <w:szCs w:val="24"/>
          <w:lang w:val="uk-UA"/>
        </w:rPr>
        <w:t>кріпленням берега по довжині 2,7</w:t>
      </w:r>
      <w:r w:rsidRPr="00A7439D">
        <w:rPr>
          <w:rFonts w:cstheme="minorHAnsi"/>
          <w:iCs/>
          <w:sz w:val="24"/>
          <w:szCs w:val="24"/>
          <w:lang w:val="uk-UA"/>
        </w:rPr>
        <w:t>км., регулювання русла річки  протяжністю 2,</w:t>
      </w:r>
      <w:r w:rsidR="007C03F4" w:rsidRPr="00A7439D">
        <w:rPr>
          <w:rFonts w:cstheme="minorHAnsi"/>
          <w:iCs/>
          <w:sz w:val="24"/>
          <w:szCs w:val="24"/>
          <w:lang w:val="uk-UA"/>
        </w:rPr>
        <w:t>7</w:t>
      </w:r>
      <w:r w:rsidRPr="00A7439D">
        <w:rPr>
          <w:rFonts w:cstheme="minorHAnsi"/>
          <w:iCs/>
          <w:sz w:val="24"/>
          <w:szCs w:val="24"/>
          <w:lang w:val="uk-UA"/>
        </w:rPr>
        <w:t xml:space="preserve">км.,  від залізничного мосту  до кінця с. Руське Поле (Ділянка №1). Також  передбачаються   роботи, які включають розчистку русла річки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від повалених дерев та поб</w:t>
      </w:r>
      <w:r w:rsidR="007C03F4" w:rsidRPr="00A7439D">
        <w:rPr>
          <w:rFonts w:cstheme="minorHAnsi"/>
          <w:iCs/>
          <w:sz w:val="24"/>
          <w:szCs w:val="24"/>
          <w:lang w:val="uk-UA"/>
        </w:rPr>
        <w:t>утового сміття протяжністю – 2,7</w:t>
      </w:r>
      <w:r w:rsidRPr="00A7439D">
        <w:rPr>
          <w:rFonts w:cstheme="minorHAnsi"/>
          <w:iCs/>
          <w:sz w:val="24"/>
          <w:szCs w:val="24"/>
          <w:lang w:val="uk-UA"/>
        </w:rPr>
        <w:t xml:space="preserve">км., у тому числі  розчистка замулених ділянок. Розчистка  русла та заплави  планується виконувати екскаваторами з виїмкою  наносів у відвал на просушку з подальшим перевезенням автотранспортом на  влаштування дамби або на постійне місце складування. Кріплення берега планується виконати з влаштування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кам’янної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призми упору з негабаритного каменю та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кам’янним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мостінням укосів дамби з влаштуванням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напівзагат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в кількості згідно розрахунку.</w:t>
      </w:r>
    </w:p>
    <w:p w:rsidR="00301460" w:rsidRPr="00A7439D" w:rsidRDefault="00301460" w:rsidP="00211CB7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lastRenderedPageBreak/>
        <w:t>ІІ – гою чергою передбачено виконання робіт по реконструкції  дамби та кріплення берега</w:t>
      </w:r>
      <w:r w:rsidR="007C03F4" w:rsidRPr="00A7439D">
        <w:rPr>
          <w:rFonts w:cstheme="minorHAnsi"/>
          <w:iCs/>
          <w:sz w:val="24"/>
          <w:szCs w:val="24"/>
          <w:lang w:val="uk-UA"/>
        </w:rPr>
        <w:t xml:space="preserve"> по довжині 1,</w:t>
      </w:r>
      <w:r w:rsidR="00597783" w:rsidRPr="00A7439D">
        <w:rPr>
          <w:rFonts w:cstheme="minorHAnsi"/>
          <w:iCs/>
          <w:sz w:val="24"/>
          <w:szCs w:val="24"/>
          <w:lang w:val="uk-UA"/>
        </w:rPr>
        <w:t>7</w:t>
      </w:r>
      <w:r w:rsidRPr="00A7439D">
        <w:rPr>
          <w:rFonts w:cstheme="minorHAnsi"/>
          <w:iCs/>
          <w:sz w:val="24"/>
          <w:szCs w:val="24"/>
          <w:lang w:val="uk-UA"/>
        </w:rPr>
        <w:t>км., регулю</w:t>
      </w:r>
      <w:r w:rsidR="007C03F4" w:rsidRPr="00A7439D">
        <w:rPr>
          <w:rFonts w:cstheme="minorHAnsi"/>
          <w:iCs/>
          <w:sz w:val="24"/>
          <w:szCs w:val="24"/>
          <w:lang w:val="uk-UA"/>
        </w:rPr>
        <w:t>в</w:t>
      </w:r>
      <w:r w:rsidR="00597783" w:rsidRPr="00A7439D">
        <w:rPr>
          <w:rFonts w:cstheme="minorHAnsi"/>
          <w:iCs/>
          <w:sz w:val="24"/>
          <w:szCs w:val="24"/>
          <w:lang w:val="uk-UA"/>
        </w:rPr>
        <w:t>ання русла річки протяжністю 1,7</w:t>
      </w:r>
      <w:r w:rsidRPr="00A7439D">
        <w:rPr>
          <w:rFonts w:cstheme="minorHAnsi"/>
          <w:iCs/>
          <w:sz w:val="24"/>
          <w:szCs w:val="24"/>
          <w:lang w:val="uk-UA"/>
        </w:rPr>
        <w:t xml:space="preserve">км. вверх по течії річки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 (Ділянка №2). Технологію робіт планується проводити аналогічно І</w:t>
      </w:r>
      <w:r w:rsidR="00211CB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шій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черзі.</w:t>
      </w:r>
    </w:p>
    <w:p w:rsidR="00301460" w:rsidRPr="00A7439D" w:rsidRDefault="00301460" w:rsidP="00211CB7">
      <w:pPr>
        <w:spacing w:after="0" w:line="240" w:lineRule="auto"/>
        <w:ind w:right="-1" w:firstLine="284"/>
        <w:jc w:val="both"/>
        <w:rPr>
          <w:rFonts w:cstheme="minorHAnsi"/>
          <w:iCs/>
          <w:sz w:val="24"/>
          <w:szCs w:val="24"/>
          <w:lang w:val="uk-UA"/>
        </w:rPr>
      </w:pPr>
      <w:r w:rsidRPr="00A7439D">
        <w:rPr>
          <w:rFonts w:cstheme="minorHAnsi"/>
          <w:iCs/>
          <w:sz w:val="24"/>
          <w:szCs w:val="24"/>
          <w:lang w:val="uk-UA"/>
        </w:rPr>
        <w:t>ІІІ – гою чергою  передбачено виконання робіт по реконструкції  дамби та кріплення берега</w:t>
      </w:r>
      <w:r w:rsidR="007C03F4" w:rsidRPr="00A7439D">
        <w:rPr>
          <w:rFonts w:cstheme="minorHAnsi"/>
          <w:iCs/>
          <w:sz w:val="24"/>
          <w:szCs w:val="24"/>
          <w:lang w:val="uk-UA"/>
        </w:rPr>
        <w:t xml:space="preserve"> по довжині 1,5</w:t>
      </w:r>
      <w:r w:rsidRPr="00A7439D">
        <w:rPr>
          <w:rFonts w:cstheme="minorHAnsi"/>
          <w:iCs/>
          <w:sz w:val="24"/>
          <w:szCs w:val="24"/>
          <w:lang w:val="uk-UA"/>
        </w:rPr>
        <w:t>км., регулюв</w:t>
      </w:r>
      <w:r w:rsidR="007C03F4" w:rsidRPr="00A7439D">
        <w:rPr>
          <w:rFonts w:cstheme="minorHAnsi"/>
          <w:iCs/>
          <w:sz w:val="24"/>
          <w:szCs w:val="24"/>
          <w:lang w:val="uk-UA"/>
        </w:rPr>
        <w:t>ання русла річки протяжністю 1,5</w:t>
      </w:r>
      <w:r w:rsidRPr="00A7439D">
        <w:rPr>
          <w:rFonts w:cstheme="minorHAnsi"/>
          <w:iCs/>
          <w:sz w:val="24"/>
          <w:szCs w:val="24"/>
          <w:lang w:val="uk-UA"/>
        </w:rPr>
        <w:t xml:space="preserve">км. вверх по течії річки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Теребля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до з’єднання з існуючою дамбою (Ділянка №3). Роботи планується проводити аналогічно І</w:t>
      </w:r>
      <w:r w:rsidR="00211CB7" w:rsidRPr="00A7439D">
        <w:rPr>
          <w:rFonts w:cstheme="minorHAnsi"/>
          <w:iCs/>
          <w:sz w:val="24"/>
          <w:szCs w:val="24"/>
          <w:lang w:val="uk-UA"/>
        </w:rPr>
        <w:t xml:space="preserve"> – </w:t>
      </w:r>
      <w:proofErr w:type="spellStart"/>
      <w:r w:rsidRPr="00A7439D">
        <w:rPr>
          <w:rFonts w:cstheme="minorHAnsi"/>
          <w:iCs/>
          <w:sz w:val="24"/>
          <w:szCs w:val="24"/>
          <w:lang w:val="uk-UA"/>
        </w:rPr>
        <w:t>шій</w:t>
      </w:r>
      <w:proofErr w:type="spellEnd"/>
      <w:r w:rsidRPr="00A7439D">
        <w:rPr>
          <w:rFonts w:cstheme="minorHAnsi"/>
          <w:iCs/>
          <w:sz w:val="24"/>
          <w:szCs w:val="24"/>
          <w:lang w:val="uk-UA"/>
        </w:rPr>
        <w:t xml:space="preserve"> черзі.</w:t>
      </w:r>
      <w:r w:rsidRPr="00A7439D">
        <w:rPr>
          <w:rFonts w:cstheme="minorHAnsi"/>
          <w:sz w:val="24"/>
          <w:szCs w:val="24"/>
          <w:lang w:val="uk-UA"/>
        </w:rPr>
        <w:t xml:space="preserve"> </w:t>
      </w:r>
    </w:p>
    <w:p w:rsidR="00273030" w:rsidRPr="00A7439D" w:rsidRDefault="00273030" w:rsidP="00211CB7">
      <w:pPr>
        <w:pStyle w:val="20"/>
        <w:shd w:val="clear" w:color="auto" w:fill="auto"/>
        <w:spacing w:after="0" w:line="240" w:lineRule="auto"/>
        <w:ind w:right="-1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:rsidR="00211CB7" w:rsidRPr="00A7439D" w:rsidRDefault="006300DB" w:rsidP="00211CB7">
      <w:pPr>
        <w:pStyle w:val="60"/>
        <w:shd w:val="clear" w:color="auto" w:fill="auto"/>
        <w:tabs>
          <w:tab w:val="left" w:pos="91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6</w:t>
      </w:r>
      <w:r w:rsidR="00F554DD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  <w:r w:rsidR="00211CB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Екологічні та інші обмеження планованої діяльності за альтернативами:</w:t>
      </w:r>
    </w:p>
    <w:p w:rsidR="00211CB7" w:rsidRPr="00A7439D" w:rsidRDefault="005A192C" w:rsidP="00211CB7">
      <w:pPr>
        <w:pStyle w:val="60"/>
        <w:numPr>
          <w:ilvl w:val="0"/>
          <w:numId w:val="8"/>
        </w:numPr>
        <w:shd w:val="clear" w:color="auto" w:fill="auto"/>
        <w:tabs>
          <w:tab w:val="left" w:pos="567"/>
        </w:tabs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Екологічні та інші обмеження планованої діяльності передбачають дотримання вимог Водного Кодексу України та Земельного Кодексу України. Враховуються гідрологічні розрахунки, екологічні, санітарно-гігієнічні, протипожежні, обмеження згідно чинних нормативних документів.</w:t>
      </w:r>
    </w:p>
    <w:p w:rsidR="00211CB7" w:rsidRPr="00A7439D" w:rsidRDefault="00916841" w:rsidP="00211CB7">
      <w:pPr>
        <w:pStyle w:val="60"/>
        <w:numPr>
          <w:ilvl w:val="0"/>
          <w:numId w:val="8"/>
        </w:numPr>
        <w:shd w:val="clear" w:color="auto" w:fill="auto"/>
        <w:tabs>
          <w:tab w:val="left" w:pos="567"/>
        </w:tabs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Д</w:t>
      </w:r>
      <w:r w:rsidR="005A192C" w:rsidRPr="00A7439D">
        <w:rPr>
          <w:rFonts w:asciiTheme="minorHAnsi" w:hAnsiTheme="minorHAnsi" w:cstheme="minorHAnsi"/>
          <w:sz w:val="24"/>
          <w:szCs w:val="24"/>
          <w:lang w:val="uk-UA"/>
        </w:rPr>
        <w:t>отримання Водного кодексу України.</w:t>
      </w:r>
    </w:p>
    <w:p w:rsidR="005A192C" w:rsidRPr="00A7439D" w:rsidRDefault="005A192C" w:rsidP="00211CB7">
      <w:pPr>
        <w:pStyle w:val="60"/>
        <w:numPr>
          <w:ilvl w:val="0"/>
          <w:numId w:val="8"/>
        </w:numPr>
        <w:shd w:val="clear" w:color="auto" w:fill="auto"/>
        <w:tabs>
          <w:tab w:val="left" w:pos="567"/>
        </w:tabs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Територіальних альтернатив планованої діяльності немає.</w:t>
      </w:r>
    </w:p>
    <w:p w:rsidR="00211CB7" w:rsidRPr="00A7439D" w:rsidRDefault="00211CB7" w:rsidP="00211CB7">
      <w:pPr>
        <w:pStyle w:val="60"/>
        <w:numPr>
          <w:ilvl w:val="0"/>
          <w:numId w:val="8"/>
        </w:numPr>
        <w:shd w:val="clear" w:color="auto" w:fill="auto"/>
        <w:tabs>
          <w:tab w:val="left" w:pos="567"/>
        </w:tabs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211CB7" w:rsidRPr="00A7439D" w:rsidRDefault="006300DB" w:rsidP="00211CB7">
      <w:pPr>
        <w:pStyle w:val="60"/>
        <w:shd w:val="clear" w:color="auto" w:fill="auto"/>
        <w:tabs>
          <w:tab w:val="left" w:pos="923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7.</w:t>
      </w:r>
      <w:r w:rsidR="00211CB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Необхідна еколого</w:t>
      </w:r>
      <w:r w:rsidR="00211CB7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–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інженерна підготовка і захист території за альтернативами:</w:t>
      </w:r>
    </w:p>
    <w:p w:rsidR="005A192C" w:rsidRPr="00A7439D" w:rsidRDefault="005A192C" w:rsidP="00211CB7">
      <w:pPr>
        <w:pStyle w:val="20"/>
        <w:shd w:val="clear" w:color="auto" w:fill="auto"/>
        <w:spacing w:after="0" w:line="240" w:lineRule="auto"/>
        <w:ind w:right="-1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Еколого - інженерна підготовка для планованої діяльності передбачає: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польове обстеження;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інженерно</w:t>
      </w:r>
      <w:r w:rsidR="00211CB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топографічні вишукування;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геологічні вишукування;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гідрологічні розрахунки;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виготовлення проектної документації;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розроблення звіту з оцінки впливу на навколишнє середовище;</w:t>
      </w:r>
    </w:p>
    <w:p w:rsidR="00211CB7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доставка на об'єкт необхідних машин, механізмів та матеріалів;</w:t>
      </w:r>
    </w:p>
    <w:p w:rsidR="005A192C" w:rsidRPr="00A7439D" w:rsidRDefault="00211CB7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лаштування і утримання тимчасових автомобільних доріг;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розчищення території будівництва захисних споруд і резервів від дерев та чагарнику;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винесення в натуру траси осі дамби р.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.</w:t>
      </w:r>
    </w:p>
    <w:p w:rsidR="005A192C" w:rsidRPr="00A7439D" w:rsidRDefault="005A192C" w:rsidP="00211CB7">
      <w:pPr>
        <w:pStyle w:val="20"/>
        <w:shd w:val="clear" w:color="auto" w:fill="auto"/>
        <w:spacing w:after="0" w:line="240" w:lineRule="auto"/>
        <w:ind w:right="-1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До заходів захисту території при виконанні робіт належить:</w:t>
      </w:r>
    </w:p>
    <w:p w:rsidR="004C3221" w:rsidRPr="00A7439D" w:rsidRDefault="005A192C" w:rsidP="004C3221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дотримання технологій передбачених проектом;</w:t>
      </w:r>
    </w:p>
    <w:p w:rsidR="00211CB7" w:rsidRPr="00A7439D" w:rsidRDefault="005A192C" w:rsidP="004C3221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виконання робіт проводиться з врахуванням вимог по збереженню навколишнього середовища.</w:t>
      </w:r>
    </w:p>
    <w:p w:rsidR="00211CB7" w:rsidRPr="00A7439D" w:rsidRDefault="005A192C" w:rsidP="00211CB7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Планована діяльність не призводить до втрат водних біоресурсів при роботі механізмів, оскільки більша частина заплави зайнята чагарниковою рослинністю та угіддями.</w:t>
      </w:r>
    </w:p>
    <w:p w:rsidR="00211CB7" w:rsidRPr="00A7439D" w:rsidRDefault="00916841" w:rsidP="00211CB7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Для 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будь</w:t>
      </w:r>
      <w:r w:rsidR="007C03F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яка еколого </w:t>
      </w:r>
      <w:r w:rsidR="00211CB7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–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інженерна підготовка спрямована на захист с. Руське Поле від шкідливої дії вод під час паводків та повеней за результатами даної діяльності.</w:t>
      </w:r>
    </w:p>
    <w:p w:rsidR="005A192C" w:rsidRPr="00A7439D" w:rsidRDefault="005A192C" w:rsidP="00211CB7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Територіальних альтернатив планованої діяльності немає.</w:t>
      </w:r>
    </w:p>
    <w:p w:rsidR="00211CB7" w:rsidRPr="00A7439D" w:rsidRDefault="00211CB7" w:rsidP="00211CB7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</w:p>
    <w:p w:rsidR="005A192C" w:rsidRPr="00A7439D" w:rsidRDefault="00353C8B" w:rsidP="00353C8B">
      <w:pPr>
        <w:pStyle w:val="60"/>
        <w:shd w:val="clear" w:color="auto" w:fill="auto"/>
        <w:tabs>
          <w:tab w:val="left" w:pos="923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8. С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фера, джерела та види можливого впливу планованої діяльності на довкілля: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766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тимчасовий вплив на повітряне середовище при роботі двигунів внутрішнього згоряння в період проведення будівельних робіт із розчистки русла річки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Теребля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 будівництва дамб, берегоукріплення буде недовготривалим, концентрації забруднюючих речовин не будуть перевищувати нормативні показники;</w:t>
      </w:r>
    </w:p>
    <w:p w:rsidR="005A192C" w:rsidRPr="00A7439D" w:rsidRDefault="005A192C" w:rsidP="00211CB7">
      <w:pPr>
        <w:pStyle w:val="20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регулювання русла здійснюватиметься технікою у руслі, тому можливе вимивання паливно-мастильних матеріалів з рухомих конструктивних вузлів механізмів. З метою запобігання та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мінімалізації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забруднення води буде забезпечено відмінний стан будівельної і транспортної техніки;</w:t>
      </w:r>
    </w:p>
    <w:p w:rsidR="00353C8B" w:rsidRPr="00A7439D" w:rsidRDefault="005A192C" w:rsidP="00353C8B">
      <w:pPr>
        <w:pStyle w:val="20"/>
        <w:numPr>
          <w:ilvl w:val="0"/>
          <w:numId w:val="3"/>
        </w:numPr>
        <w:shd w:val="clear" w:color="auto" w:fill="auto"/>
        <w:tabs>
          <w:tab w:val="left" w:pos="766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у процесі будівництва незначні ділянки, які не мають особливого екологічного та природоохоронного значення, будуть очищені від рослинності, що не матиме суттєвих негативних наслідків для місцевої екосистеми, а навпаки підвищить стійкість русла і берега;</w:t>
      </w:r>
    </w:p>
    <w:p w:rsidR="00353C8B" w:rsidRPr="00A7439D" w:rsidRDefault="005A192C" w:rsidP="00353C8B">
      <w:pPr>
        <w:pStyle w:val="20"/>
        <w:numPr>
          <w:ilvl w:val="0"/>
          <w:numId w:val="3"/>
        </w:numPr>
        <w:shd w:val="clear" w:color="auto" w:fill="auto"/>
        <w:tabs>
          <w:tab w:val="left" w:pos="766"/>
        </w:tabs>
        <w:spacing w:after="0" w:line="240" w:lineRule="auto"/>
        <w:ind w:right="-1" w:firstLine="580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виконання будівельно-монтажних робіт буде супроводжуватися шумовим забрудненням.</w:t>
      </w:r>
    </w:p>
    <w:p w:rsidR="00353C8B" w:rsidRPr="00A7439D" w:rsidRDefault="006300DB" w:rsidP="00353C8B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О</w:t>
      </w:r>
      <w:r w:rsidR="005A192C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сновним негативним впливом на довкілля буде тимчасове забруднення річкових вод під час роботи екскаватора</w:t>
      </w:r>
    </w:p>
    <w:p w:rsidR="005A192C" w:rsidRPr="00A7439D" w:rsidRDefault="005A192C" w:rsidP="00353C8B">
      <w:pPr>
        <w:pStyle w:val="20"/>
        <w:shd w:val="clear" w:color="auto" w:fill="auto"/>
        <w:tabs>
          <w:tab w:val="left" w:pos="766"/>
        </w:tabs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Територіальних альтернатив планованої діяльності немає.</w:t>
      </w:r>
    </w:p>
    <w:p w:rsidR="00353C8B" w:rsidRPr="00A7439D" w:rsidRDefault="00353C8B" w:rsidP="00353C8B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9. Належність планованої діяльності до першої чи другої категорії видів діяльності та об’єктів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, які можуть мати значний вплив на довкілля та підлягають оцінці впливу на довкілля (зазначити відповідний пункт і частину статті 3 Закону України “Про оцінку впливу на довкілля”) </w:t>
      </w:r>
    </w:p>
    <w:p w:rsidR="005A192C" w:rsidRPr="00A7439D" w:rsidRDefault="005A192C" w:rsidP="00353C8B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lastRenderedPageBreak/>
        <w:t>Планована діяльність належить до другої категорії видів планованої діяльності згідно</w:t>
      </w:r>
      <w:r w:rsidR="002F1C14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пункту 10 частини 3 статті 3 Закону України «Про оцінку впливу на довкілля».</w:t>
      </w:r>
    </w:p>
    <w:p w:rsidR="00353C8B" w:rsidRPr="00A7439D" w:rsidRDefault="00353C8B" w:rsidP="00353C8B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</w:p>
    <w:p w:rsidR="005A192C" w:rsidRPr="00A7439D" w:rsidRDefault="002F1C14" w:rsidP="00353C8B">
      <w:pPr>
        <w:pStyle w:val="60"/>
        <w:shd w:val="clear" w:color="auto" w:fill="auto"/>
        <w:tabs>
          <w:tab w:val="left" w:pos="972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10.</w:t>
      </w:r>
      <w:r w:rsidR="00353C8B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Наявність підстав для здійснення оцінки транскордонного впливу на довкілля</w:t>
      </w:r>
      <w:r w:rsidR="005A192C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(в тому числі наявність значного негативного транскордонного впливу на довкілля та перелік держав, довкілля яких може зазнати значного негативного транскордонного впливу (зачеплених держав)</w:t>
      </w:r>
    </w:p>
    <w:p w:rsidR="005A192C" w:rsidRPr="00A7439D" w:rsidRDefault="005A192C" w:rsidP="00353C8B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Підстав для здійснення оцінки транскордонного впливу на довкілля немає.</w:t>
      </w:r>
    </w:p>
    <w:p w:rsidR="00C93B4C" w:rsidRPr="00A7439D" w:rsidRDefault="00C93B4C" w:rsidP="00353C8B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</w:p>
    <w:p w:rsidR="005A192C" w:rsidRPr="00A7439D" w:rsidRDefault="00046A92" w:rsidP="00353C8B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11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. Планований обсяг досліджень та рівень деталізації інформації, що підлягає включенню до</w:t>
      </w:r>
      <w:r w:rsidR="004A41BB"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звіту з оцінки впливу на довкілля</w:t>
      </w:r>
      <w:r w:rsidR="00C93B4C"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</w:p>
    <w:p w:rsidR="005A192C" w:rsidRPr="00A7439D" w:rsidRDefault="005A192C" w:rsidP="00C93B4C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Геологічні та топографо</w:t>
      </w:r>
      <w:r w:rsidR="00353C8B"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 – </w:t>
      </w:r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 xml:space="preserve">геодезичні дослідження, гідрологічні дані та поверхневі води, навколишнє соціальне середовище, </w:t>
      </w:r>
      <w:proofErr w:type="spellStart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Грунти</w:t>
      </w:r>
      <w:proofErr w:type="spellEnd"/>
      <w:r w:rsidRPr="00A7439D"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  <w:t>, флора і фауни.</w:t>
      </w:r>
    </w:p>
    <w:p w:rsidR="00C93B4C" w:rsidRPr="00A7439D" w:rsidRDefault="00C93B4C" w:rsidP="00C93B4C">
      <w:pPr>
        <w:pStyle w:val="20"/>
        <w:shd w:val="clear" w:color="auto" w:fill="auto"/>
        <w:spacing w:after="0" w:line="240" w:lineRule="auto"/>
        <w:ind w:right="-1" w:firstLine="284"/>
        <w:jc w:val="both"/>
        <w:rPr>
          <w:rFonts w:asciiTheme="minorHAnsi" w:hAnsiTheme="minorHAnsi" w:cstheme="minorHAnsi"/>
          <w:b w:val="0"/>
          <w:i w:val="0"/>
          <w:sz w:val="24"/>
          <w:szCs w:val="24"/>
          <w:lang w:val="uk-UA"/>
        </w:rPr>
      </w:pPr>
    </w:p>
    <w:p w:rsidR="005A192C" w:rsidRPr="00A7439D" w:rsidRDefault="00C93B4C" w:rsidP="00C93B4C">
      <w:pPr>
        <w:pStyle w:val="60"/>
        <w:shd w:val="clear" w:color="auto" w:fill="auto"/>
        <w:tabs>
          <w:tab w:val="left" w:pos="980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12.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Процедура оцінки впливу на довкілля та можливості для участі в ній громадськості</w:t>
      </w: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>.</w:t>
      </w:r>
    </w:p>
    <w:p w:rsidR="005A192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Планована суб'єктом господарювання діяльність може мати вплив на довкілля і, отже,</w:t>
      </w:r>
      <w:r w:rsidR="00C93B4C"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>підлягає оцінці впливу на довкілля відповідно до Закону України "Про оцінку впливу на довкілля". Оцінка впливу на довкілля - це процедура, що передбачає:</w:t>
      </w:r>
    </w:p>
    <w:p w:rsidR="00C93B4C" w:rsidRPr="00A7439D" w:rsidRDefault="005A192C" w:rsidP="00C93B4C">
      <w:pPr>
        <w:pStyle w:val="60"/>
        <w:numPr>
          <w:ilvl w:val="0"/>
          <w:numId w:val="9"/>
        </w:numPr>
        <w:shd w:val="clear" w:color="auto" w:fill="auto"/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підготовку суб’єктом господарювання звіту з оцінки впливу на довкілля;</w:t>
      </w:r>
    </w:p>
    <w:p w:rsidR="00C93B4C" w:rsidRPr="00A7439D" w:rsidRDefault="005A192C" w:rsidP="00C93B4C">
      <w:pPr>
        <w:pStyle w:val="60"/>
        <w:numPr>
          <w:ilvl w:val="0"/>
          <w:numId w:val="9"/>
        </w:numPr>
        <w:shd w:val="clear" w:color="auto" w:fill="auto"/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проведення громадського обговорення планованої діяльності;</w:t>
      </w:r>
    </w:p>
    <w:p w:rsidR="00C93B4C" w:rsidRPr="00A7439D" w:rsidRDefault="005A192C" w:rsidP="00C93B4C">
      <w:pPr>
        <w:pStyle w:val="60"/>
        <w:numPr>
          <w:ilvl w:val="0"/>
          <w:numId w:val="9"/>
        </w:numPr>
        <w:shd w:val="clear" w:color="auto" w:fill="auto"/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аналіз уповноваженим органом звіту з оцінки впливу на довкілля, будь-якої додаткової інформації, яку надає суб'єкт господарювання, а також інформації, отриманої від громадськості під час громадського обговорення, під час здійснення процедури оцінки транскордонного впливу, іншої інформації;</w:t>
      </w:r>
    </w:p>
    <w:p w:rsidR="00C93B4C" w:rsidRPr="00A7439D" w:rsidRDefault="005A192C" w:rsidP="00C93B4C">
      <w:pPr>
        <w:pStyle w:val="60"/>
        <w:numPr>
          <w:ilvl w:val="0"/>
          <w:numId w:val="9"/>
        </w:numPr>
        <w:shd w:val="clear" w:color="auto" w:fill="auto"/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надання уповноваженим органом мотивованого висновку з оцінки впливу на довкілля, що враховує результати аналізу, передбаченого абзацом п'ятим цього пункту;</w:t>
      </w:r>
    </w:p>
    <w:p w:rsidR="005A192C" w:rsidRPr="00A7439D" w:rsidRDefault="005A192C" w:rsidP="00C93B4C">
      <w:pPr>
        <w:pStyle w:val="60"/>
        <w:numPr>
          <w:ilvl w:val="0"/>
          <w:numId w:val="9"/>
        </w:numPr>
        <w:shd w:val="clear" w:color="auto" w:fill="auto"/>
        <w:spacing w:before="0" w:line="240" w:lineRule="auto"/>
        <w:ind w:left="0"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врахування висновку з оцінки впливу на довкілля у рішенні про провадження планованої діяльності, зазначеного у пункті 14 цього повідомлення.</w:t>
      </w:r>
    </w:p>
    <w:p w:rsidR="00C93B4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У висновку з оцінки впливу на довкілля уповноважений орган, виходячи з оцінки впливу на довкілля планованої діяльності, визначає допустимість чи обґрунтовує недопустимість провадження планованої діяльності та визначає екологічні умови її провадження.</w:t>
      </w:r>
    </w:p>
    <w:p w:rsidR="00C93B4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Забороняється розпочинати провадження планованої діяльності без оцінки впливу на довкілля та отримання рішення про провадження планованої діяльності.</w:t>
      </w:r>
    </w:p>
    <w:p w:rsidR="00C93B4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Процедура оцінки впливу на довкілля передбачає право і можливості громадськості для участі у такій процедурі, зокрема на стадії обговорення обсягу досліджень та рівня деталізації інформації, що підлягає включенню до звіту з оцінки впливу на довкілля, а також на стадії розгляду уповноваженим органом поданого суб'єктом господарювання звіту з оцінки впливу на довкілля.</w:t>
      </w:r>
    </w:p>
    <w:p w:rsidR="005A192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На стадії громадського обговорення звіту з оцінки впливу на довкілля протягом щонайменше 25 робочих днів громадськості надається можливість надавати будь-які зауваження і пропозиції до звіту з оцінки впливу на довкілля та планованої діяльності, а також взяти участь у громадських слуханнях. Детальніше про процедуру громадського обговорення; звіту з оцінки впливу на довкілля буде повідомлено в оголошенні про початок громадського обговорення.</w:t>
      </w:r>
    </w:p>
    <w:p w:rsidR="00C93B4C" w:rsidRPr="00A7439D" w:rsidRDefault="00C93B4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:rsidR="005A192C" w:rsidRPr="00A7439D" w:rsidRDefault="00C93B4C" w:rsidP="00C93B4C">
      <w:pPr>
        <w:pStyle w:val="60"/>
        <w:shd w:val="clear" w:color="auto" w:fill="auto"/>
        <w:tabs>
          <w:tab w:val="left" w:pos="908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13.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Громадське обговорення обсягу досліджень та рівня деталізації інформації, що підлягає включенню до звіту з оцінки впливу на довкілля</w:t>
      </w:r>
    </w:p>
    <w:p w:rsidR="005A192C" w:rsidRPr="00A7439D" w:rsidRDefault="005A192C" w:rsidP="00C93B4C">
      <w:pPr>
        <w:pStyle w:val="60"/>
        <w:shd w:val="clear" w:color="auto" w:fill="auto"/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Протягом 20 робочих днів з дня оприлюднення цього повідомлення на офіційному веб-сайті уповноваженого органу громадськість має право надати уповноваженому органу, зазначеному у пункті 15 цього повідомлення, зауваження і пропозиції до планованої діяльності, обсягу досліджень та рівня деталізації інформації, що підлягає включенню до звіту з оцінки впливу на довкілля.</w:t>
      </w:r>
    </w:p>
    <w:p w:rsidR="005A192C" w:rsidRPr="00A7439D" w:rsidRDefault="005A192C" w:rsidP="00211CB7">
      <w:pPr>
        <w:pStyle w:val="60"/>
        <w:shd w:val="clear" w:color="auto" w:fill="auto"/>
        <w:spacing w:before="0" w:line="240" w:lineRule="auto"/>
        <w:ind w:right="-1" w:firstLine="600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Надаючи такі зауваженні і пропозиції, вкажіть реєстраційний номер справи про оцінку впливу на довкілля планованої діяльності в Єдиному реєстрі з оцінки впливу на довкілля (зазначений на першій сторінці цього повідомлення). Це значно спростить процес реєстрації та розгляду Ваших зауважень і пропозицій.</w:t>
      </w:r>
    </w:p>
    <w:p w:rsidR="005A192C" w:rsidRPr="00A7439D" w:rsidRDefault="005A192C" w:rsidP="00211CB7">
      <w:pPr>
        <w:pStyle w:val="60"/>
        <w:shd w:val="clear" w:color="auto" w:fill="auto"/>
        <w:spacing w:before="0" w:line="240" w:lineRule="auto"/>
        <w:ind w:right="-1" w:firstLine="600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У разі отримання таких зауважень і пропозицій громадськості вони будуть розміщені в Єдиному реєстрі з оцінки впливу на довкілля та передані суб'єкту господарювання (протягом трьох робочих 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lastRenderedPageBreak/>
        <w:t xml:space="preserve">днів з дня їх отримання). Особи, що надають зауваження і пропозиції, своїм підписом засвідчують свою згоду на обробку їх персональних даних. Суб'єкт господарювання під час підготовки звіту з оцінки впливу на довкілля зобов'язаний врахувати повністю, врахувати частково або </w:t>
      </w:r>
      <w:r w:rsidR="0055425F" w:rsidRPr="00A7439D">
        <w:rPr>
          <w:rFonts w:asciiTheme="minorHAnsi" w:hAnsiTheme="minorHAnsi" w:cstheme="minorHAnsi"/>
          <w:sz w:val="24"/>
          <w:szCs w:val="24"/>
          <w:lang w:val="uk-UA"/>
        </w:rPr>
        <w:t>обґрунтовано</w:t>
      </w:r>
      <w:r w:rsidRPr="00A7439D">
        <w:rPr>
          <w:rFonts w:asciiTheme="minorHAnsi" w:hAnsiTheme="minorHAnsi" w:cstheme="minorHAnsi"/>
          <w:sz w:val="24"/>
          <w:szCs w:val="24"/>
          <w:lang w:val="uk-UA"/>
        </w:rPr>
        <w:t xml:space="preserve"> відхилити зауваження і пропозиції громадськості, надані у процесі громадського обговорення обсягу досліджень та рівня деталізації інформації, що підлягає включенню до звіту з оцінки впливу на довкілля. Детальна інформація про це включається до звіту з оцінки впливу на довкілля.</w:t>
      </w:r>
    </w:p>
    <w:p w:rsidR="00C93B4C" w:rsidRPr="00A7439D" w:rsidRDefault="00C93B4C" w:rsidP="00C93B4C">
      <w:pPr>
        <w:pStyle w:val="60"/>
        <w:shd w:val="clear" w:color="auto" w:fill="auto"/>
        <w:tabs>
          <w:tab w:val="left" w:pos="980"/>
        </w:tabs>
        <w:spacing w:before="0" w:line="240" w:lineRule="auto"/>
        <w:ind w:right="-1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:rsidR="005A192C" w:rsidRPr="00A7439D" w:rsidRDefault="00C93B4C" w:rsidP="00C93B4C">
      <w:pPr>
        <w:pStyle w:val="60"/>
        <w:shd w:val="clear" w:color="auto" w:fill="auto"/>
        <w:tabs>
          <w:tab w:val="left" w:pos="980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14.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Рішення про провадження планованої діяльності</w:t>
      </w:r>
    </w:p>
    <w:p w:rsidR="005A192C" w:rsidRPr="00A7439D" w:rsidRDefault="005A192C" w:rsidP="00C93B4C">
      <w:pPr>
        <w:pStyle w:val="60"/>
        <w:shd w:val="clear" w:color="auto" w:fill="auto"/>
        <w:spacing w:before="0" w:line="240" w:lineRule="auto"/>
        <w:ind w:right="-1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sz w:val="24"/>
          <w:szCs w:val="24"/>
          <w:lang w:val="uk-UA"/>
        </w:rPr>
        <w:t>Відповідно до законодавства рішенням про провадження даної планованої діяльності буде</w:t>
      </w:r>
      <w:r w:rsidR="00C93B4C" w:rsidRPr="00A7439D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:rsidR="005A192C" w:rsidRPr="00A7439D" w:rsidRDefault="00C93B4C" w:rsidP="00211CB7">
      <w:pPr>
        <w:pStyle w:val="20"/>
        <w:shd w:val="clear" w:color="auto" w:fill="auto"/>
        <w:spacing w:after="0" w:line="240" w:lineRule="auto"/>
        <w:ind w:right="-1" w:firstLine="600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д</w:t>
      </w:r>
      <w:r w:rsidR="005A192C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озвіл на виконання будівельних робіт Управлінням державного архітектурно</w:t>
      </w:r>
      <w:r w:rsidR="00B2193F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–</w:t>
      </w:r>
      <w:r w:rsidR="005A192C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 xml:space="preserve"> будівельного контролю</w:t>
      </w:r>
      <w:r w:rsidR="00B2193F" w:rsidRPr="00A7439D">
        <w:rPr>
          <w:rFonts w:asciiTheme="minorHAnsi" w:hAnsiTheme="minorHAnsi" w:cstheme="minorHAnsi"/>
          <w:i w:val="0"/>
          <w:sz w:val="24"/>
          <w:szCs w:val="24"/>
          <w:lang w:val="uk-UA"/>
        </w:rPr>
        <w:t>.</w:t>
      </w:r>
    </w:p>
    <w:p w:rsidR="00B2193F" w:rsidRPr="00A7439D" w:rsidRDefault="00B2193F" w:rsidP="00211CB7">
      <w:pPr>
        <w:pStyle w:val="20"/>
        <w:shd w:val="clear" w:color="auto" w:fill="auto"/>
        <w:spacing w:after="0" w:line="240" w:lineRule="auto"/>
        <w:ind w:right="-1" w:firstLine="600"/>
        <w:jc w:val="both"/>
        <w:rPr>
          <w:rFonts w:asciiTheme="minorHAnsi" w:hAnsiTheme="minorHAnsi" w:cstheme="minorHAnsi"/>
          <w:i w:val="0"/>
          <w:sz w:val="24"/>
          <w:szCs w:val="24"/>
          <w:lang w:val="uk-UA"/>
        </w:rPr>
      </w:pPr>
    </w:p>
    <w:p w:rsidR="005A192C" w:rsidRPr="00A7439D" w:rsidRDefault="00B2193F" w:rsidP="00B2193F">
      <w:pPr>
        <w:pStyle w:val="60"/>
        <w:shd w:val="clear" w:color="auto" w:fill="auto"/>
        <w:tabs>
          <w:tab w:val="left" w:pos="922"/>
        </w:tabs>
        <w:spacing w:before="0" w:line="240" w:lineRule="auto"/>
        <w:ind w:right="-1" w:firstLine="284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 w:rsidRPr="00A7439D">
        <w:rPr>
          <w:rFonts w:asciiTheme="minorHAnsi" w:hAnsiTheme="minorHAnsi" w:cstheme="minorHAnsi"/>
          <w:b/>
          <w:sz w:val="24"/>
          <w:szCs w:val="24"/>
          <w:lang w:val="uk-UA"/>
        </w:rPr>
        <w:t xml:space="preserve">15. </w:t>
      </w:r>
      <w:r w:rsidR="005A192C" w:rsidRPr="00A7439D">
        <w:rPr>
          <w:rFonts w:asciiTheme="minorHAnsi" w:hAnsiTheme="minorHAnsi" w:cstheme="minorHAnsi"/>
          <w:b/>
          <w:sz w:val="24"/>
          <w:szCs w:val="24"/>
          <w:lang w:val="uk-UA"/>
        </w:rPr>
        <w:t>Усі зауваження і пропозиції громадськості до планованої діяльності</w:t>
      </w:r>
      <w:r w:rsidR="005A192C" w:rsidRPr="00A7439D">
        <w:rPr>
          <w:rFonts w:asciiTheme="minorHAnsi" w:hAnsiTheme="minorHAnsi" w:cstheme="minorHAnsi"/>
          <w:sz w:val="24"/>
          <w:szCs w:val="24"/>
          <w:lang w:val="uk-UA"/>
        </w:rPr>
        <w:t>, обсягу досліджень та рівня деталізації інформації, що підлягає включенню до звіту з оцінки впливу на довкілля, необхідно надсилати до</w:t>
      </w:r>
      <w:r w:rsidR="00575740" w:rsidRPr="00A7439D">
        <w:rPr>
          <w:rStyle w:val="21"/>
          <w:rFonts w:asciiTheme="minorHAnsi" w:hAnsiTheme="minorHAnsi" w:cstheme="minorHAnsi"/>
          <w:i w:val="0"/>
          <w:sz w:val="24"/>
          <w:szCs w:val="24"/>
        </w:rPr>
        <w:t xml:space="preserve">                                     </w:t>
      </w:r>
    </w:p>
    <w:p w:rsidR="00E2346F" w:rsidRPr="00A7439D" w:rsidRDefault="00E2346F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  <w:r w:rsidRPr="00A7439D">
        <w:rPr>
          <w:rFonts w:cstheme="minorHAnsi"/>
          <w:sz w:val="24"/>
          <w:szCs w:val="24"/>
          <w:lang w:val="uk-UA"/>
        </w:rPr>
        <w:t xml:space="preserve">           Департамент</w:t>
      </w:r>
      <w:r w:rsidR="00B2193F" w:rsidRPr="00A7439D">
        <w:rPr>
          <w:rFonts w:cstheme="minorHAnsi"/>
          <w:sz w:val="24"/>
          <w:szCs w:val="24"/>
          <w:lang w:val="uk-UA"/>
        </w:rPr>
        <w:t>у</w:t>
      </w:r>
      <w:r w:rsidRPr="00A7439D">
        <w:rPr>
          <w:rFonts w:cstheme="minorHAnsi"/>
          <w:sz w:val="24"/>
          <w:szCs w:val="24"/>
          <w:lang w:val="uk-UA"/>
        </w:rPr>
        <w:t xml:space="preserve"> екології та природних ресурсів Закарпатської обласної державної адміністрації, адреса: 88008, м. Ужгород, </w:t>
      </w:r>
      <w:proofErr w:type="spellStart"/>
      <w:r w:rsidRPr="00A7439D">
        <w:rPr>
          <w:rFonts w:cstheme="minorHAnsi"/>
          <w:sz w:val="24"/>
          <w:szCs w:val="24"/>
          <w:lang w:val="uk-UA"/>
        </w:rPr>
        <w:t>пл</w:t>
      </w:r>
      <w:proofErr w:type="spellEnd"/>
      <w:r w:rsidRPr="00A7439D">
        <w:rPr>
          <w:rFonts w:cstheme="minorHAnsi"/>
          <w:sz w:val="24"/>
          <w:szCs w:val="24"/>
          <w:lang w:val="uk-UA"/>
        </w:rPr>
        <w:t xml:space="preserve">. Народна, 4, </w:t>
      </w:r>
      <w:proofErr w:type="spellStart"/>
      <w:r w:rsidRPr="00A7439D">
        <w:rPr>
          <w:rFonts w:cstheme="minorHAnsi"/>
          <w:sz w:val="24"/>
          <w:szCs w:val="24"/>
          <w:lang w:val="uk-UA"/>
        </w:rPr>
        <w:t>тел</w:t>
      </w:r>
      <w:proofErr w:type="spellEnd"/>
      <w:r w:rsidRPr="00A7439D">
        <w:rPr>
          <w:rFonts w:cstheme="minorHAnsi"/>
          <w:sz w:val="24"/>
          <w:szCs w:val="24"/>
          <w:lang w:val="uk-UA"/>
        </w:rPr>
        <w:t>./факс (0312) 61-67-01,</w:t>
      </w:r>
    </w:p>
    <w:p w:rsidR="00E2346F" w:rsidRPr="00A7439D" w:rsidRDefault="00E2346F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  <w:r w:rsidRPr="00A7439D">
        <w:rPr>
          <w:rFonts w:cstheme="minorHAnsi"/>
          <w:sz w:val="24"/>
          <w:szCs w:val="24"/>
          <w:lang w:val="uk-UA"/>
        </w:rPr>
        <w:t xml:space="preserve"> E-</w:t>
      </w:r>
      <w:proofErr w:type="spellStart"/>
      <w:r w:rsidRPr="00A7439D">
        <w:rPr>
          <w:rFonts w:cstheme="minorHAnsi"/>
          <w:sz w:val="24"/>
          <w:szCs w:val="24"/>
          <w:lang w:val="uk-UA"/>
        </w:rPr>
        <w:t>mail</w:t>
      </w:r>
      <w:proofErr w:type="spellEnd"/>
      <w:r w:rsidRPr="00A7439D">
        <w:rPr>
          <w:rFonts w:cstheme="minorHAnsi"/>
          <w:sz w:val="24"/>
          <w:szCs w:val="24"/>
          <w:lang w:val="uk-UA"/>
        </w:rPr>
        <w:t xml:space="preserve">: central@ecozakarpat.gov.ua, контактна особа: </w:t>
      </w:r>
      <w:proofErr w:type="spellStart"/>
      <w:r w:rsidRPr="00A7439D">
        <w:rPr>
          <w:rFonts w:cstheme="minorHAnsi"/>
          <w:sz w:val="24"/>
          <w:szCs w:val="24"/>
          <w:lang w:val="uk-UA"/>
        </w:rPr>
        <w:t>Урись</w:t>
      </w:r>
      <w:proofErr w:type="spellEnd"/>
      <w:r w:rsidRPr="00A7439D">
        <w:rPr>
          <w:rFonts w:cstheme="minorHAnsi"/>
          <w:sz w:val="24"/>
          <w:szCs w:val="24"/>
          <w:lang w:val="uk-UA"/>
        </w:rPr>
        <w:t xml:space="preserve"> Ігор Омелянович. </w:t>
      </w:r>
    </w:p>
    <w:p w:rsidR="004C5BC8" w:rsidRPr="00A7439D" w:rsidRDefault="00E2346F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  <w:r w:rsidRPr="00A7439D">
        <w:rPr>
          <w:rFonts w:cstheme="minorHAnsi"/>
          <w:sz w:val="24"/>
          <w:szCs w:val="24"/>
          <w:lang w:val="uk-UA"/>
        </w:rPr>
        <w:t>(найменування уповноваженого органу, поштова адреса, електронна адреса, номер телефону та</w:t>
      </w:r>
      <w:r w:rsidR="00D41760" w:rsidRPr="00A7439D">
        <w:rPr>
          <w:rFonts w:cstheme="minorHAnsi"/>
          <w:sz w:val="24"/>
          <w:szCs w:val="24"/>
          <w:lang w:val="uk-UA"/>
        </w:rPr>
        <w:t xml:space="preserve">  контактна особа)</w:t>
      </w: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p w:rsidR="005A192C" w:rsidRPr="00A7439D" w:rsidRDefault="005A192C" w:rsidP="00211CB7">
      <w:pPr>
        <w:spacing w:line="240" w:lineRule="auto"/>
        <w:ind w:right="-1"/>
        <w:jc w:val="both"/>
        <w:rPr>
          <w:rFonts w:cstheme="minorHAnsi"/>
          <w:sz w:val="24"/>
          <w:szCs w:val="24"/>
          <w:lang w:val="uk-UA"/>
        </w:rPr>
      </w:pPr>
    </w:p>
    <w:sectPr w:rsidR="005A192C" w:rsidRPr="00A7439D" w:rsidSect="00211CB7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076129"/>
    <w:multiLevelType w:val="hybridMultilevel"/>
    <w:tmpl w:val="51B85B8C"/>
    <w:lvl w:ilvl="0" w:tplc="A2426BD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F272E74"/>
    <w:multiLevelType w:val="hybridMultilevel"/>
    <w:tmpl w:val="FE6E4F56"/>
    <w:lvl w:ilvl="0" w:tplc="A2426BD6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 w15:restartNumberingAfterBreak="0">
    <w:nsid w:val="3B381F7E"/>
    <w:multiLevelType w:val="multilevel"/>
    <w:tmpl w:val="B4D615C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A66DAA"/>
    <w:multiLevelType w:val="hybridMultilevel"/>
    <w:tmpl w:val="1898003E"/>
    <w:lvl w:ilvl="0" w:tplc="F76EC50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D37EB"/>
    <w:multiLevelType w:val="multilevel"/>
    <w:tmpl w:val="D9C02DF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D05C1"/>
    <w:multiLevelType w:val="multilevel"/>
    <w:tmpl w:val="ED58D7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0D584F"/>
    <w:multiLevelType w:val="hybridMultilevel"/>
    <w:tmpl w:val="BBA89D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7201A"/>
    <w:multiLevelType w:val="multilevel"/>
    <w:tmpl w:val="7E18DE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17"/>
    <w:rsid w:val="00025B76"/>
    <w:rsid w:val="00046A92"/>
    <w:rsid w:val="00067077"/>
    <w:rsid w:val="000D49CF"/>
    <w:rsid w:val="000F56D6"/>
    <w:rsid w:val="0013444D"/>
    <w:rsid w:val="0015550A"/>
    <w:rsid w:val="001F1C0B"/>
    <w:rsid w:val="00211CB7"/>
    <w:rsid w:val="002532C2"/>
    <w:rsid w:val="00273030"/>
    <w:rsid w:val="002826FB"/>
    <w:rsid w:val="002E453F"/>
    <w:rsid w:val="002E60CB"/>
    <w:rsid w:val="002F1C14"/>
    <w:rsid w:val="00301460"/>
    <w:rsid w:val="003151FE"/>
    <w:rsid w:val="00353C8B"/>
    <w:rsid w:val="0035718B"/>
    <w:rsid w:val="003E1776"/>
    <w:rsid w:val="00453E3F"/>
    <w:rsid w:val="004A41BB"/>
    <w:rsid w:val="004B0A55"/>
    <w:rsid w:val="004B7BB5"/>
    <w:rsid w:val="004C1117"/>
    <w:rsid w:val="004C3221"/>
    <w:rsid w:val="005442D5"/>
    <w:rsid w:val="0055425F"/>
    <w:rsid w:val="00575740"/>
    <w:rsid w:val="00597783"/>
    <w:rsid w:val="005A192C"/>
    <w:rsid w:val="005A6519"/>
    <w:rsid w:val="006300DB"/>
    <w:rsid w:val="0065157B"/>
    <w:rsid w:val="0067098A"/>
    <w:rsid w:val="0075129E"/>
    <w:rsid w:val="007C03F4"/>
    <w:rsid w:val="007E46ED"/>
    <w:rsid w:val="0082313C"/>
    <w:rsid w:val="00882407"/>
    <w:rsid w:val="00886A25"/>
    <w:rsid w:val="008A1108"/>
    <w:rsid w:val="008B1471"/>
    <w:rsid w:val="00912614"/>
    <w:rsid w:val="00916841"/>
    <w:rsid w:val="009F2E3F"/>
    <w:rsid w:val="00A071CA"/>
    <w:rsid w:val="00A30331"/>
    <w:rsid w:val="00A53E0C"/>
    <w:rsid w:val="00A7439D"/>
    <w:rsid w:val="00AA11D9"/>
    <w:rsid w:val="00B2193F"/>
    <w:rsid w:val="00B31FE6"/>
    <w:rsid w:val="00B65F28"/>
    <w:rsid w:val="00BD3052"/>
    <w:rsid w:val="00C2521A"/>
    <w:rsid w:val="00C27874"/>
    <w:rsid w:val="00C5712B"/>
    <w:rsid w:val="00C90C08"/>
    <w:rsid w:val="00C93B4C"/>
    <w:rsid w:val="00D01649"/>
    <w:rsid w:val="00D41760"/>
    <w:rsid w:val="00D5791A"/>
    <w:rsid w:val="00DF21FE"/>
    <w:rsid w:val="00E2346F"/>
    <w:rsid w:val="00E27CB1"/>
    <w:rsid w:val="00EB54EF"/>
    <w:rsid w:val="00EC2284"/>
    <w:rsid w:val="00F554DD"/>
    <w:rsid w:val="00F62B60"/>
    <w:rsid w:val="00FA6FC9"/>
    <w:rsid w:val="00FA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D5FB5-E9C2-4C37-997E-C36FC881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C1117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117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3">
    <w:name w:val="Основной текст (3)_"/>
    <w:basedOn w:val="a0"/>
    <w:link w:val="30"/>
    <w:locked/>
    <w:rsid w:val="004C111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1117"/>
    <w:pPr>
      <w:widowControl w:val="0"/>
      <w:shd w:val="clear" w:color="auto" w:fill="FFFFFF"/>
      <w:spacing w:before="420" w:after="0" w:line="206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locked/>
    <w:rsid w:val="004C11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C1117"/>
    <w:pPr>
      <w:widowControl w:val="0"/>
      <w:shd w:val="clear" w:color="auto" w:fill="FFFFFF"/>
      <w:spacing w:before="60" w:after="0" w:line="245" w:lineRule="exact"/>
    </w:pPr>
    <w:rPr>
      <w:rFonts w:ascii="Times New Roman" w:eastAsia="Times New Roman" w:hAnsi="Times New Roman" w:cs="Times New Roman"/>
    </w:rPr>
  </w:style>
  <w:style w:type="character" w:customStyle="1" w:styleId="69">
    <w:name w:val="Основной текст (6) + 9"/>
    <w:aliases w:val="5 pt,Малые прописные,Интервал 0 pt"/>
    <w:basedOn w:val="6"/>
    <w:rsid w:val="004C1117"/>
    <w:rPr>
      <w:rFonts w:ascii="Times New Roman" w:eastAsia="Times New Roman" w:hAnsi="Times New Roman" w:cs="Times New Roman"/>
      <w:smallCaps/>
      <w:color w:val="000000"/>
      <w:spacing w:val="1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1">
    <w:name w:val="Основной текст (2) + Не полужирный;Не курсив"/>
    <w:basedOn w:val="2"/>
    <w:rsid w:val="005A19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9pt">
    <w:name w:val="Основной текст (2) + 9 pt;Не полужирный;Не курсив"/>
    <w:basedOn w:val="2"/>
    <w:rsid w:val="005A19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customStyle="1" w:styleId="29pt0">
    <w:name w:val="Основной текст (2) + 9 pt;Не полужирный"/>
    <w:basedOn w:val="2"/>
    <w:rsid w:val="005A19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5A192C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192C"/>
    <w:pPr>
      <w:widowControl w:val="0"/>
      <w:shd w:val="clear" w:color="auto" w:fill="FFFFFF"/>
      <w:spacing w:after="420" w:line="206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5">
    <w:name w:val="Основной текст (5)_"/>
    <w:basedOn w:val="a0"/>
    <w:link w:val="50"/>
    <w:rsid w:val="005A192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A192C"/>
    <w:pPr>
      <w:widowControl w:val="0"/>
      <w:shd w:val="clear" w:color="auto" w:fill="FFFFFF"/>
      <w:spacing w:before="420" w:after="180" w:line="202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Default">
    <w:name w:val="Default"/>
    <w:rsid w:val="003151F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12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2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C7350-E5E2-4BDC-ACC7-8CA47D70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9991</Words>
  <Characters>5695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Architekt</cp:lastModifiedBy>
  <cp:revision>5</cp:revision>
  <cp:lastPrinted>2019-02-28T14:50:00Z</cp:lastPrinted>
  <dcterms:created xsi:type="dcterms:W3CDTF">2019-04-23T07:56:00Z</dcterms:created>
  <dcterms:modified xsi:type="dcterms:W3CDTF">2019-04-24T08:43:00Z</dcterms:modified>
</cp:coreProperties>
</file>