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635" w:rsidRPr="00E8493D" w:rsidRDefault="00942635" w:rsidP="00B31D26">
      <w:pPr>
        <w:ind w:right="-370"/>
        <w:outlineLvl w:val="0"/>
        <w:rPr>
          <w:b/>
          <w:lang w:val="uk-UA"/>
        </w:rPr>
      </w:pPr>
      <w:r>
        <w:rPr>
          <w:b/>
          <w:lang w:val="uk-UA"/>
        </w:rPr>
        <w:t xml:space="preserve">                                                                                                                        </w:t>
      </w:r>
      <w:r w:rsidRPr="00E8493D">
        <w:rPr>
          <w:b/>
          <w:lang w:val="uk-UA"/>
        </w:rPr>
        <w:t xml:space="preserve">Додаток № </w:t>
      </w:r>
      <w:r>
        <w:rPr>
          <w:b/>
          <w:lang w:val="uk-UA"/>
        </w:rPr>
        <w:t>2</w:t>
      </w:r>
    </w:p>
    <w:p w:rsidR="00942635" w:rsidRDefault="00942635" w:rsidP="00B31D26">
      <w:pPr>
        <w:jc w:val="both"/>
        <w:rPr>
          <w:lang w:val="uk-UA"/>
        </w:rPr>
      </w:pPr>
      <w:r>
        <w:rPr>
          <w:sz w:val="22"/>
          <w:szCs w:val="22"/>
          <w:lang w:val="uk-UA"/>
        </w:rPr>
        <w:t xml:space="preserve">                                                                                                                   до    </w:t>
      </w:r>
      <w:r w:rsidRPr="00EC16EC">
        <w:rPr>
          <w:lang w:val="uk-UA"/>
        </w:rPr>
        <w:t xml:space="preserve">рішення </w:t>
      </w:r>
      <w:r>
        <w:rPr>
          <w:lang w:val="uk-UA"/>
        </w:rPr>
        <w:t xml:space="preserve">    тридцять     восьмої  </w:t>
      </w:r>
    </w:p>
    <w:p w:rsidR="00942635" w:rsidRDefault="00942635" w:rsidP="00B31D26">
      <w:pPr>
        <w:jc w:val="both"/>
        <w:rPr>
          <w:lang w:val="uk-UA"/>
        </w:rPr>
      </w:pPr>
      <w:r>
        <w:rPr>
          <w:lang w:val="uk-UA"/>
        </w:rPr>
        <w:t xml:space="preserve">                                                                                                         (позачергової)  </w:t>
      </w:r>
      <w:r w:rsidRPr="00EC16EC">
        <w:rPr>
          <w:lang w:val="uk-UA"/>
        </w:rPr>
        <w:t xml:space="preserve">сесії </w:t>
      </w:r>
      <w:r>
        <w:rPr>
          <w:lang w:val="uk-UA"/>
        </w:rPr>
        <w:t xml:space="preserve"> </w:t>
      </w:r>
      <w:r w:rsidRPr="00EC16EC">
        <w:rPr>
          <w:lang w:val="en-US"/>
        </w:rPr>
        <w:t>V</w:t>
      </w:r>
      <w:r w:rsidRPr="00EC16EC">
        <w:rPr>
          <w:lang w:val="uk-UA"/>
        </w:rPr>
        <w:t xml:space="preserve">ІІ </w:t>
      </w:r>
      <w:r>
        <w:rPr>
          <w:lang w:val="uk-UA"/>
        </w:rPr>
        <w:t xml:space="preserve"> </w:t>
      </w:r>
      <w:r w:rsidRPr="00EC16EC">
        <w:rPr>
          <w:lang w:val="uk-UA"/>
        </w:rPr>
        <w:t xml:space="preserve">скликання </w:t>
      </w:r>
    </w:p>
    <w:p w:rsidR="00942635" w:rsidRDefault="00942635" w:rsidP="00B31D26">
      <w:pPr>
        <w:jc w:val="both"/>
        <w:rPr>
          <w:lang w:val="uk-UA"/>
        </w:rPr>
      </w:pPr>
      <w:r>
        <w:rPr>
          <w:lang w:val="uk-UA"/>
        </w:rPr>
        <w:t xml:space="preserve">                                                                                                         Тячівської міської ради від 14 трав</w:t>
      </w:r>
      <w:r w:rsidRPr="00EC16EC">
        <w:rPr>
          <w:lang w:val="uk-UA"/>
        </w:rPr>
        <w:t xml:space="preserve">ня </w:t>
      </w:r>
      <w:r>
        <w:rPr>
          <w:lang w:val="uk-UA"/>
        </w:rPr>
        <w:t xml:space="preserve"> </w:t>
      </w:r>
    </w:p>
    <w:p w:rsidR="00942635" w:rsidRPr="00EC16EC" w:rsidRDefault="00942635" w:rsidP="00B31D26">
      <w:pPr>
        <w:jc w:val="both"/>
        <w:rPr>
          <w:lang w:val="uk-UA"/>
        </w:rPr>
      </w:pPr>
      <w:r>
        <w:rPr>
          <w:lang w:val="uk-UA"/>
        </w:rPr>
        <w:t xml:space="preserve">                                                                                                         </w:t>
      </w:r>
      <w:r w:rsidRPr="00EC16EC">
        <w:rPr>
          <w:lang w:val="uk-UA"/>
        </w:rPr>
        <w:t>20</w:t>
      </w:r>
      <w:r>
        <w:rPr>
          <w:lang w:val="uk-UA"/>
        </w:rPr>
        <w:t>20</w:t>
      </w:r>
      <w:r w:rsidRPr="00EC16EC">
        <w:rPr>
          <w:lang w:val="uk-UA"/>
        </w:rPr>
        <w:t xml:space="preserve"> року №</w:t>
      </w:r>
      <w:r>
        <w:rPr>
          <w:lang w:val="uk-UA"/>
        </w:rPr>
        <w:t xml:space="preserve"> 4713                                       </w:t>
      </w:r>
    </w:p>
    <w:p w:rsidR="00942635" w:rsidRDefault="00942635" w:rsidP="00CD7E59">
      <w:pPr>
        <w:ind w:left="6521"/>
        <w:rPr>
          <w:lang w:val="uk-UA"/>
        </w:rPr>
      </w:pPr>
    </w:p>
    <w:p w:rsidR="00942635" w:rsidRPr="00315D5B" w:rsidRDefault="00942635" w:rsidP="00CD7E59">
      <w:pPr>
        <w:rPr>
          <w:lang w:val="uk-UA"/>
        </w:rPr>
      </w:pPr>
    </w:p>
    <w:p w:rsidR="00942635" w:rsidRDefault="00942635" w:rsidP="0017012A">
      <w:pPr>
        <w:jc w:val="center"/>
        <w:rPr>
          <w:b/>
          <w:lang w:val="uk-UA"/>
        </w:rPr>
      </w:pPr>
      <w:r w:rsidRPr="00BC6151">
        <w:rPr>
          <w:b/>
          <w:lang w:val="uk-UA"/>
        </w:rPr>
        <w:t>Ставк</w:t>
      </w:r>
      <w:r>
        <w:rPr>
          <w:b/>
          <w:lang w:val="uk-UA"/>
        </w:rPr>
        <w:t>и</w:t>
      </w:r>
    </w:p>
    <w:p w:rsidR="00942635" w:rsidRPr="0017012A" w:rsidRDefault="00942635" w:rsidP="00B31D26">
      <w:pPr>
        <w:jc w:val="both"/>
        <w:rPr>
          <w:b/>
          <w:lang w:val="uk-UA"/>
        </w:rPr>
      </w:pPr>
      <w:r w:rsidRPr="00BC6151">
        <w:rPr>
          <w:b/>
          <w:lang w:val="uk-UA"/>
        </w:rPr>
        <w:t>податку</w:t>
      </w:r>
      <w:r>
        <w:rPr>
          <w:b/>
          <w:lang w:val="uk-UA"/>
        </w:rPr>
        <w:t xml:space="preserve"> на майно, відмінне від земельної ділянки, на 2021 рік, що встановлюються</w:t>
      </w:r>
      <w:bookmarkStart w:id="0" w:name="_GoBack"/>
      <w:bookmarkEnd w:id="0"/>
      <w:r w:rsidRPr="0017012A">
        <w:rPr>
          <w:b/>
          <w:lang w:val="uk-UA"/>
        </w:rPr>
        <w:t xml:space="preserve"> для населених пунктів Тячівської міської об’єднаної територіальної громади (міста Тячів, сіл Тячівка, Лази, Округла та Руське Поле)</w:t>
      </w:r>
    </w:p>
    <w:p w:rsidR="00942635" w:rsidRDefault="00942635" w:rsidP="00CD7E59">
      <w:pPr>
        <w:jc w:val="center"/>
        <w:rPr>
          <w:b/>
          <w:lang w:val="uk-UA"/>
        </w:rPr>
      </w:pPr>
    </w:p>
    <w:p w:rsidR="00942635" w:rsidRPr="00883D96" w:rsidRDefault="00942635" w:rsidP="00CD7E59">
      <w:pPr>
        <w:jc w:val="both"/>
        <w:rPr>
          <w:sz w:val="28"/>
          <w:szCs w:val="28"/>
          <w:lang w:val="uk-UA"/>
        </w:rPr>
      </w:pPr>
      <w:r w:rsidRPr="00400F67">
        <w:rPr>
          <w:b/>
          <w:lang w:val="uk-UA"/>
        </w:rPr>
        <w:t>1. Ставка податку для об’єктів житлової нерухомості,</w:t>
      </w:r>
      <w:r>
        <w:rPr>
          <w:lang w:val="uk-UA"/>
        </w:rPr>
        <w:t xml:space="preserve"> що перебуває</w:t>
      </w:r>
      <w:r w:rsidRPr="009B1A73">
        <w:rPr>
          <w:lang w:val="uk-UA"/>
        </w:rPr>
        <w:t xml:space="preserve"> у власності фізичн</w:t>
      </w:r>
      <w:r>
        <w:rPr>
          <w:lang w:val="uk-UA"/>
        </w:rPr>
        <w:t xml:space="preserve">их </w:t>
      </w:r>
      <w:r w:rsidRPr="000E06B7">
        <w:rPr>
          <w:lang w:val="uk-UA"/>
        </w:rPr>
        <w:t>та юридичних осіб</w:t>
      </w:r>
      <w:r>
        <w:rPr>
          <w:lang w:val="uk-UA"/>
        </w:rPr>
        <w:t xml:space="preserve"> населених пунктів Тячівської об’єднаної територіальної громади (міста Тячів, сіл руське Поле, Тячівка, Лази, Округла)</w:t>
      </w:r>
      <w:r w:rsidRPr="000E06B7">
        <w:rPr>
          <w:lang w:val="uk-UA"/>
        </w:rPr>
        <w:t>, встановлюється в розмірі</w:t>
      </w:r>
      <w:r>
        <w:rPr>
          <w:lang w:val="uk-UA"/>
        </w:rPr>
        <w:t xml:space="preserve"> </w:t>
      </w:r>
      <w:r w:rsidRPr="00883D96">
        <w:rPr>
          <w:lang w:val="uk-UA"/>
        </w:rPr>
        <w:t xml:space="preserve">0,5 відсотка від  розміру мінімальної заробітної плати, встановленої законом на 1 січня звітного (податкового) року, за </w:t>
      </w:r>
      <w:smartTag w:uri="urn:schemas-microsoft-com:office:smarttags" w:element="metricconverter">
        <w:smartTagPr>
          <w:attr w:name="ProductID" w:val="1 кв. метр"/>
        </w:smartTagPr>
        <w:r w:rsidRPr="00883D96">
          <w:rPr>
            <w:lang w:val="uk-UA"/>
          </w:rPr>
          <w:t>1 кв. метр</w:t>
        </w:r>
      </w:smartTag>
      <w:r w:rsidRPr="00883D96">
        <w:rPr>
          <w:lang w:val="uk-UA"/>
        </w:rPr>
        <w:t xml:space="preserve"> бази оподаткування</w:t>
      </w:r>
      <w:r w:rsidRPr="00883D96">
        <w:rPr>
          <w:i/>
          <w:lang w:val="uk-UA"/>
        </w:rPr>
        <w:t>.</w:t>
      </w:r>
    </w:p>
    <w:p w:rsidR="00942635" w:rsidRPr="00400F67" w:rsidRDefault="00942635" w:rsidP="00CD7E59">
      <w:pPr>
        <w:jc w:val="both"/>
        <w:rPr>
          <w:i/>
          <w:lang w:val="uk-UA"/>
        </w:rPr>
      </w:pPr>
      <w:r w:rsidRPr="00400F67">
        <w:rPr>
          <w:b/>
          <w:lang w:val="uk-UA"/>
        </w:rPr>
        <w:t>2. Ставки податку для об’єктів нежитлової нерухомості</w:t>
      </w:r>
      <w:r w:rsidRPr="00883D96">
        <w:rPr>
          <w:lang w:val="uk-UA"/>
        </w:rPr>
        <w:t>, що перебувають у власності фізичних та юридичних осіб,  встановлюються  в залежності від місця розташування (зональності) та типів  нерухомості. З метою визначення меж зон м. Тячів</w:t>
      </w:r>
      <w:r>
        <w:rPr>
          <w:lang w:val="uk-UA"/>
        </w:rPr>
        <w:t>,</w:t>
      </w:r>
      <w:r w:rsidRPr="00883D96">
        <w:rPr>
          <w:lang w:val="uk-UA"/>
        </w:rPr>
        <w:t xml:space="preserve"> населених пунктів Тячівської об’єднаної територіальної громади та коефіцієнтів для коригування ставок податку на нерухоме майно для об’єктів нежитлової нерухомості</w:t>
      </w:r>
      <w:r>
        <w:rPr>
          <w:lang w:val="uk-UA"/>
        </w:rPr>
        <w:t>,</w:t>
      </w:r>
      <w:r w:rsidRPr="00883D96">
        <w:rPr>
          <w:lang w:val="uk-UA"/>
        </w:rPr>
        <w:t xml:space="preserve"> встановлюються три типи зон та три коефіцієнти зональності:</w:t>
      </w:r>
    </w:p>
    <w:p w:rsidR="00942635" w:rsidRPr="00EE378F" w:rsidRDefault="00942635" w:rsidP="00CD7E59">
      <w:pPr>
        <w:pStyle w:val="HTMLPreformatted"/>
        <w:jc w:val="both"/>
        <w:rPr>
          <w:rFonts w:ascii="Times New Roman" w:hAnsi="Times New Roman"/>
          <w:color w:val="auto"/>
          <w:sz w:val="24"/>
          <w:szCs w:val="24"/>
          <w:lang w:val="uk-UA"/>
        </w:rPr>
      </w:pPr>
      <w:r w:rsidRPr="00EE378F">
        <w:rPr>
          <w:rFonts w:ascii="Times New Roman" w:hAnsi="Times New Roman"/>
          <w:color w:val="auto"/>
          <w:sz w:val="24"/>
          <w:szCs w:val="24"/>
          <w:lang w:val="uk-UA"/>
        </w:rPr>
        <w:tab/>
      </w:r>
      <w:r w:rsidRPr="00B448B0">
        <w:rPr>
          <w:rFonts w:ascii="Times New Roman" w:hAnsi="Times New Roman"/>
          <w:b/>
          <w:color w:val="auto"/>
          <w:sz w:val="24"/>
          <w:szCs w:val="24"/>
          <w:lang w:val="uk-UA"/>
        </w:rPr>
        <w:t>Зона 1</w:t>
      </w:r>
      <w:r w:rsidRPr="00EE378F">
        <w:rPr>
          <w:rFonts w:ascii="Times New Roman" w:hAnsi="Times New Roman"/>
          <w:b/>
          <w:color w:val="auto"/>
          <w:sz w:val="24"/>
          <w:szCs w:val="24"/>
          <w:lang w:val="uk-UA"/>
        </w:rPr>
        <w:t>. Центральна зона м. Тячів (коефіцієнт дорівнює 1,2)</w:t>
      </w:r>
      <w:r w:rsidRPr="00EE378F">
        <w:rPr>
          <w:rFonts w:ascii="Times New Roman" w:hAnsi="Times New Roman"/>
          <w:color w:val="auto"/>
          <w:sz w:val="24"/>
          <w:szCs w:val="24"/>
          <w:lang w:val="uk-UA"/>
        </w:rPr>
        <w:t>: вул. Армійська (колишня Червоноармійська), провулок Армійський (колишній Червоноармійський), вул. Незалежності (колишня Леніна), пл. Незалежності (колишня Леніна), пл. Пам</w:t>
      </w:r>
      <w:r w:rsidRPr="00EE378F">
        <w:rPr>
          <w:rFonts w:ascii="Times New Roman" w:hAnsi="Times New Roman"/>
          <w:color w:val="auto"/>
          <w:sz w:val="24"/>
          <w:szCs w:val="24"/>
          <w:lang w:val="cy-GB"/>
        </w:rPr>
        <w:t>’</w:t>
      </w:r>
      <w:r w:rsidRPr="00EE378F">
        <w:rPr>
          <w:rFonts w:ascii="Times New Roman" w:hAnsi="Times New Roman"/>
          <w:color w:val="auto"/>
          <w:sz w:val="24"/>
          <w:szCs w:val="24"/>
          <w:lang w:val="uk-UA"/>
        </w:rPr>
        <w:t>яті, вул. Жовтнева, пл. Поштова, вул. Вайди, вул. Гоголя, вул. Кошута, вул. Чехова, вул. Гагаріна, вул. Піонерська, вул. І.Франка, пл. Туряниці, вул. Пушкіна, пров. Пушкіна, вул. Маркуша, вул. Ринкова, вул. Голлоші, пров. Голлоші (колишня Фрунзе), вул. Польова, урочище «Варош</w:t>
      </w:r>
      <w:r>
        <w:rPr>
          <w:rFonts w:ascii="Times New Roman" w:hAnsi="Times New Roman"/>
          <w:color w:val="auto"/>
          <w:sz w:val="24"/>
          <w:szCs w:val="24"/>
          <w:lang w:val="uk-UA"/>
        </w:rPr>
        <w:t>-</w:t>
      </w:r>
      <w:r w:rsidRPr="00EE378F">
        <w:rPr>
          <w:rFonts w:ascii="Times New Roman" w:hAnsi="Times New Roman"/>
          <w:color w:val="auto"/>
          <w:sz w:val="24"/>
          <w:szCs w:val="24"/>
          <w:lang w:val="uk-UA"/>
        </w:rPr>
        <w:t>Вейг».</w:t>
      </w:r>
    </w:p>
    <w:p w:rsidR="00942635" w:rsidRPr="00EE378F" w:rsidRDefault="00942635" w:rsidP="00CD7E59">
      <w:pPr>
        <w:pStyle w:val="HTMLPreformatted"/>
        <w:jc w:val="both"/>
        <w:rPr>
          <w:rFonts w:ascii="Times New Roman" w:hAnsi="Times New Roman"/>
          <w:color w:val="auto"/>
          <w:sz w:val="24"/>
          <w:szCs w:val="24"/>
          <w:lang w:val="uk-UA"/>
        </w:rPr>
      </w:pPr>
      <w:r w:rsidRPr="00EE378F">
        <w:rPr>
          <w:rFonts w:ascii="Times New Roman" w:hAnsi="Times New Roman"/>
          <w:color w:val="auto"/>
          <w:sz w:val="24"/>
          <w:szCs w:val="24"/>
          <w:lang w:val="uk-UA"/>
        </w:rPr>
        <w:tab/>
      </w:r>
      <w:r w:rsidRPr="00B448B0">
        <w:rPr>
          <w:rFonts w:ascii="Times New Roman" w:hAnsi="Times New Roman"/>
          <w:b/>
          <w:color w:val="auto"/>
          <w:sz w:val="24"/>
          <w:szCs w:val="24"/>
          <w:lang w:val="uk-UA"/>
        </w:rPr>
        <w:t>Зона 2</w:t>
      </w:r>
      <w:r w:rsidRPr="00EE378F">
        <w:rPr>
          <w:rFonts w:ascii="Times New Roman" w:hAnsi="Times New Roman"/>
          <w:b/>
          <w:color w:val="auto"/>
          <w:sz w:val="24"/>
          <w:szCs w:val="24"/>
          <w:lang w:val="uk-UA"/>
        </w:rPr>
        <w:t>. Зона, прилегла до центральної у м. Тячів (коефіцієнт дорівнює 1,1)</w:t>
      </w:r>
      <w:r w:rsidRPr="00EE378F">
        <w:rPr>
          <w:rFonts w:ascii="Times New Roman" w:hAnsi="Times New Roman"/>
          <w:color w:val="auto"/>
          <w:sz w:val="24"/>
          <w:szCs w:val="24"/>
          <w:lang w:val="uk-UA"/>
        </w:rPr>
        <w:t>: вул. О.Деяка (колишня Радянська), вул. Київська, пл. Карла Маркса, вул. Маяковського, вул. Московська, вул. Леонтовича, вул. Робітнича, вул. Шевченка, вул. Шапошнікова.</w:t>
      </w:r>
    </w:p>
    <w:p w:rsidR="00942635" w:rsidRPr="00883D96" w:rsidRDefault="00942635" w:rsidP="00CD7E59">
      <w:pPr>
        <w:pStyle w:val="HTMLPreformatted"/>
        <w:jc w:val="both"/>
        <w:rPr>
          <w:rFonts w:ascii="Times New Roman" w:hAnsi="Times New Roman"/>
          <w:color w:val="FF0000"/>
          <w:sz w:val="24"/>
          <w:szCs w:val="24"/>
          <w:lang w:val="uk-UA"/>
        </w:rPr>
      </w:pPr>
      <w:r>
        <w:rPr>
          <w:rFonts w:ascii="Times New Roman" w:hAnsi="Times New Roman"/>
          <w:b/>
          <w:color w:val="auto"/>
          <w:sz w:val="24"/>
          <w:szCs w:val="24"/>
          <w:lang w:val="uk-UA"/>
        </w:rPr>
        <w:t xml:space="preserve">               </w:t>
      </w:r>
      <w:r w:rsidRPr="00B448B0">
        <w:rPr>
          <w:rFonts w:ascii="Times New Roman" w:hAnsi="Times New Roman"/>
          <w:b/>
          <w:color w:val="auto"/>
          <w:sz w:val="24"/>
          <w:szCs w:val="24"/>
          <w:lang w:val="uk-UA"/>
        </w:rPr>
        <w:t>Зона 3</w:t>
      </w:r>
      <w:r w:rsidRPr="00EE378F">
        <w:rPr>
          <w:rFonts w:ascii="Times New Roman" w:hAnsi="Times New Roman"/>
          <w:b/>
          <w:color w:val="auto"/>
          <w:sz w:val="24"/>
          <w:szCs w:val="24"/>
          <w:lang w:val="uk-UA"/>
        </w:rPr>
        <w:t>. Інші вулиці (коефіцієнт дорівнює 1,0)</w:t>
      </w:r>
      <w:r w:rsidRPr="00EE378F">
        <w:rPr>
          <w:rFonts w:ascii="Times New Roman" w:hAnsi="Times New Roman"/>
          <w:color w:val="auto"/>
          <w:sz w:val="24"/>
          <w:szCs w:val="24"/>
          <w:lang w:val="uk-UA"/>
        </w:rPr>
        <w:t>: вул. Бажана, вул. Бардіївська, вул. Бартокі,</w:t>
      </w:r>
      <w:r w:rsidRPr="00883D96">
        <w:rPr>
          <w:rFonts w:ascii="Times New Roman" w:hAnsi="Times New Roman"/>
          <w:color w:val="auto"/>
          <w:sz w:val="24"/>
          <w:szCs w:val="24"/>
          <w:lang w:val="uk-UA"/>
        </w:rPr>
        <w:t xml:space="preserve"> вул. Берегівська, пров. Берегівський, вул. Березова, вул. Бокшая (колишня 60 років СРСР), вул. Борканюка, вул. Будівельників, пров. Будівельників, вул. Бучанська, (колишня Дзержинського), вул. Вакарова, вул. Вербова, вул. Виноградівська, вул. Вишнева, вул. Волошина, вул. Горького, (колишня Жданова), вул. Грушевського, вул. Джерельна, пров. Джерельний, вул. Довженка, вул. Драгоманова, пров. Драгоманова, вул. Духновича, вул. Ерделі (колишня Ленінградська), вул. Заводська, вул. Закарпатська, вул. Заньковецької, вул. Зелена, вул. Каштанова, вул. Комсомольска, вул. Корольова, вул. Корятовича, вул. Котляревського, пров. Котляревського, вул. Коцюбинського, вул. Крайня, вул. Кубинця, вул. Кутузова, вул. Лазівська, пров. Лазівський, вул. Левицького, вул. Л. Українки, вул. Липова, вул. Листопада, вул. Лісова, вул. Локоти, вул. Гетьмана Мазепи, (колишня Свердлова), вул. Матросова, вул. Митна, вул. Молодогвардійська, вул. Ярослава Мудрого (колишня Куйбишева), вул. Мукачівська, вул. Мункачі, вул. Народна, пров. Народний, вул. Партизанська, вул. Петефі, вул. Полуботка, вул. Прикордонна, вул. Ракоці, вул. Рахівська, вул. Рильського, вул. Річна, вул. Сагайдачного, вул. Севастопольська, вул. Словянська, вул. Сосюри, пров. Сосюри, вул. Спортивна, вул. Стефаника, вул. Суворова, вул. Тиха, вул. Тичини, Толстого, вул. Тополева, вул. Травнева, вул. Тупикова, вул. Ужгородська, вул. Фермерська, вул. Б.Хмельницького, вул. Чайковського вул. Чорновола, (колишня 50 років Жовтня), вул. Яблунева, вул. 30 років Перемоги, пров. 30 років Перемоги, вул. 40 років Перемоги та інші вулиці міста, а також населених пунктів Тячівської об’єднаної територіальної громади.</w:t>
      </w:r>
    </w:p>
    <w:p w:rsidR="00942635" w:rsidRPr="003332A5" w:rsidRDefault="00942635" w:rsidP="00CD7E59">
      <w:pPr>
        <w:jc w:val="both"/>
        <w:rPr>
          <w:lang w:val="uk-UA"/>
        </w:rPr>
      </w:pPr>
      <w:r w:rsidRPr="00883D96">
        <w:rPr>
          <w:lang w:val="uk-UA"/>
        </w:rPr>
        <w:t xml:space="preserve"> </w:t>
      </w:r>
      <w:r>
        <w:rPr>
          <w:lang w:val="uk-UA"/>
        </w:rPr>
        <w:t xml:space="preserve">                  </w:t>
      </w:r>
      <w:r w:rsidRPr="00883D96">
        <w:rPr>
          <w:lang w:val="uk-UA"/>
        </w:rPr>
        <w:t>Ставки податку за 1 м. кв. для об’єктів нежитлової нерухомості, що пе</w:t>
      </w:r>
      <w:r w:rsidRPr="00EB4AF6">
        <w:rPr>
          <w:lang w:val="uk-UA"/>
        </w:rPr>
        <w:t>ре</w:t>
      </w:r>
      <w:r>
        <w:rPr>
          <w:lang w:val="uk-UA"/>
        </w:rPr>
        <w:t xml:space="preserve">бувають у власності фізичних та </w:t>
      </w:r>
      <w:r w:rsidRPr="00EB4AF6">
        <w:rPr>
          <w:lang w:val="uk-UA"/>
        </w:rPr>
        <w:t>юридичних осіб (в залежності від місця розташування (зональності) та типів)</w:t>
      </w:r>
      <w:r>
        <w:rPr>
          <w:lang w:val="uk-UA"/>
        </w:rPr>
        <w:t xml:space="preserve"> </w:t>
      </w:r>
      <w:r w:rsidRPr="00EB4AF6">
        <w:rPr>
          <w:lang w:val="uk-UA"/>
        </w:rPr>
        <w:t>встановлюються в таких розмірах :</w:t>
      </w:r>
    </w:p>
    <w:p w:rsidR="00942635" w:rsidRDefault="00942635" w:rsidP="00CD7E59">
      <w:pPr>
        <w:jc w:val="center"/>
        <w:rPr>
          <w:i/>
          <w:lang w:val="uk-UA"/>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0"/>
        <w:gridCol w:w="4742"/>
        <w:gridCol w:w="1276"/>
        <w:gridCol w:w="1842"/>
        <w:gridCol w:w="1701"/>
      </w:tblGrid>
      <w:tr w:rsidR="00942635" w:rsidRPr="00A00F91" w:rsidTr="00D55BBB">
        <w:tc>
          <w:tcPr>
            <w:tcW w:w="640" w:type="dxa"/>
          </w:tcPr>
          <w:p w:rsidR="00942635" w:rsidRPr="00845164" w:rsidRDefault="00942635" w:rsidP="00477CE0">
            <w:pPr>
              <w:jc w:val="center"/>
              <w:rPr>
                <w:b/>
                <w:lang w:val="uk-UA"/>
              </w:rPr>
            </w:pPr>
            <w:r w:rsidRPr="00845164">
              <w:rPr>
                <w:b/>
                <w:lang w:val="uk-UA"/>
              </w:rPr>
              <w:t>№</w:t>
            </w:r>
          </w:p>
          <w:p w:rsidR="00942635" w:rsidRPr="00845164" w:rsidRDefault="00942635" w:rsidP="00477CE0">
            <w:pPr>
              <w:jc w:val="center"/>
              <w:rPr>
                <w:b/>
                <w:lang w:val="uk-UA"/>
              </w:rPr>
            </w:pPr>
            <w:r>
              <w:rPr>
                <w:b/>
                <w:lang w:val="uk-UA"/>
              </w:rPr>
              <w:t>з</w:t>
            </w:r>
            <w:r w:rsidRPr="00845164">
              <w:rPr>
                <w:b/>
                <w:lang w:val="uk-UA"/>
              </w:rPr>
              <w:t>/п</w:t>
            </w:r>
          </w:p>
        </w:tc>
        <w:tc>
          <w:tcPr>
            <w:tcW w:w="4742" w:type="dxa"/>
          </w:tcPr>
          <w:p w:rsidR="00942635" w:rsidRPr="00845164" w:rsidRDefault="00942635" w:rsidP="00477CE0">
            <w:pPr>
              <w:jc w:val="center"/>
              <w:rPr>
                <w:b/>
                <w:lang w:val="uk-UA"/>
              </w:rPr>
            </w:pPr>
            <w:r w:rsidRPr="00845164">
              <w:rPr>
                <w:b/>
                <w:lang w:val="uk-UA"/>
              </w:rPr>
              <w:t>Тип об’єкта нерухомості та місце його розташування згідно затверджених зон</w:t>
            </w:r>
          </w:p>
        </w:tc>
        <w:tc>
          <w:tcPr>
            <w:tcW w:w="1276" w:type="dxa"/>
          </w:tcPr>
          <w:p w:rsidR="00942635" w:rsidRPr="00845164" w:rsidRDefault="00942635" w:rsidP="00477CE0">
            <w:pPr>
              <w:jc w:val="center"/>
              <w:rPr>
                <w:b/>
                <w:lang w:val="uk-UA"/>
              </w:rPr>
            </w:pPr>
            <w:r w:rsidRPr="00845164">
              <w:rPr>
                <w:b/>
                <w:lang w:val="uk-UA"/>
              </w:rPr>
              <w:t>Коефіцієнт зональності</w:t>
            </w:r>
          </w:p>
        </w:tc>
        <w:tc>
          <w:tcPr>
            <w:tcW w:w="1842" w:type="dxa"/>
          </w:tcPr>
          <w:p w:rsidR="00942635" w:rsidRPr="00845164" w:rsidRDefault="00942635" w:rsidP="00477CE0">
            <w:pPr>
              <w:jc w:val="center"/>
              <w:rPr>
                <w:b/>
                <w:lang w:val="uk-UA"/>
              </w:rPr>
            </w:pPr>
            <w:r>
              <w:rPr>
                <w:b/>
                <w:lang w:val="uk-UA"/>
              </w:rPr>
              <w:t>Базова ставка податку</w:t>
            </w:r>
            <w:r w:rsidRPr="00845164">
              <w:rPr>
                <w:b/>
                <w:lang w:val="uk-UA"/>
              </w:rPr>
              <w:t>, %</w:t>
            </w:r>
          </w:p>
        </w:tc>
        <w:tc>
          <w:tcPr>
            <w:tcW w:w="1701" w:type="dxa"/>
          </w:tcPr>
          <w:p w:rsidR="00942635" w:rsidRPr="00845164" w:rsidRDefault="00942635" w:rsidP="00477CE0">
            <w:pPr>
              <w:jc w:val="center"/>
              <w:rPr>
                <w:b/>
                <w:lang w:val="uk-UA"/>
              </w:rPr>
            </w:pPr>
            <w:r w:rsidRPr="00845164">
              <w:rPr>
                <w:b/>
                <w:lang w:val="uk-UA"/>
              </w:rPr>
              <w:t>Ставка податку з урахуванням коефіцієнту зональності, %</w:t>
            </w:r>
          </w:p>
        </w:tc>
      </w:tr>
      <w:tr w:rsidR="00942635" w:rsidRPr="009D4D0B" w:rsidTr="00D55BBB">
        <w:tc>
          <w:tcPr>
            <w:tcW w:w="640" w:type="dxa"/>
          </w:tcPr>
          <w:p w:rsidR="00942635" w:rsidRPr="00A00F91" w:rsidRDefault="00942635" w:rsidP="00477CE0">
            <w:pPr>
              <w:rPr>
                <w:sz w:val="20"/>
                <w:szCs w:val="20"/>
                <w:lang w:val="uk-UA"/>
              </w:rPr>
            </w:pPr>
            <w:r w:rsidRPr="00A00F91">
              <w:rPr>
                <w:sz w:val="20"/>
                <w:szCs w:val="20"/>
                <w:lang w:val="uk-UA"/>
              </w:rPr>
              <w:t xml:space="preserve">   1</w:t>
            </w:r>
          </w:p>
        </w:tc>
        <w:tc>
          <w:tcPr>
            <w:tcW w:w="4742" w:type="dxa"/>
          </w:tcPr>
          <w:p w:rsidR="00942635" w:rsidRPr="00DE12E5" w:rsidRDefault="00942635" w:rsidP="00477CE0">
            <w:pPr>
              <w:jc w:val="both"/>
              <w:rPr>
                <w:b/>
                <w:lang w:val="uk-UA"/>
              </w:rPr>
            </w:pPr>
            <w:r w:rsidRPr="00DE12E5">
              <w:rPr>
                <w:b/>
                <w:lang w:val="uk-UA"/>
              </w:rPr>
              <w:t xml:space="preserve">І. Будівлі готельні </w:t>
            </w:r>
            <w:r w:rsidRPr="00DE12E5">
              <w:rPr>
                <w:lang w:val="uk-UA"/>
              </w:rPr>
              <w:t>- готелі, мотелі, кемпінги, пансіонати, ресторани та бари, туристичні бази, гірські притулки, табори для відпочинку, будинки відпочинку</w:t>
            </w:r>
          </w:p>
          <w:p w:rsidR="00942635" w:rsidRPr="00DE12E5" w:rsidRDefault="00942635" w:rsidP="00477CE0">
            <w:pPr>
              <w:jc w:val="both"/>
              <w:rPr>
                <w:b/>
                <w:lang w:val="uk-UA"/>
              </w:rPr>
            </w:pPr>
            <w:r w:rsidRPr="00DE12E5">
              <w:rPr>
                <w:b/>
                <w:lang w:val="uk-UA"/>
              </w:rPr>
              <w:t>- Центральна зона м. Тячів</w:t>
            </w:r>
          </w:p>
          <w:p w:rsidR="00942635" w:rsidRPr="00DE12E5" w:rsidRDefault="00942635" w:rsidP="00477CE0">
            <w:pPr>
              <w:jc w:val="both"/>
              <w:rPr>
                <w:b/>
                <w:lang w:val="uk-UA"/>
              </w:rPr>
            </w:pPr>
            <w:r w:rsidRPr="00DE12E5">
              <w:rPr>
                <w:b/>
                <w:lang w:val="uk-UA"/>
              </w:rPr>
              <w:t>- Зона, прилегла до центральної у м. Тячів</w:t>
            </w:r>
          </w:p>
          <w:p w:rsidR="00942635" w:rsidRPr="00DE12E5" w:rsidRDefault="00942635" w:rsidP="00477CE0">
            <w:pPr>
              <w:jc w:val="both"/>
              <w:rPr>
                <w:lang w:val="uk-UA"/>
              </w:rPr>
            </w:pPr>
            <w:r w:rsidRPr="00DE12E5">
              <w:rPr>
                <w:b/>
                <w:lang w:val="uk-UA"/>
              </w:rPr>
              <w:t>- Інші вулиці</w:t>
            </w:r>
          </w:p>
        </w:tc>
        <w:tc>
          <w:tcPr>
            <w:tcW w:w="1276" w:type="dxa"/>
          </w:tcPr>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r w:rsidRPr="009D4D0B">
              <w:rPr>
                <w:lang w:val="uk-UA"/>
              </w:rPr>
              <w:t>1,2</w:t>
            </w:r>
          </w:p>
          <w:p w:rsidR="00942635" w:rsidRPr="009D4D0B" w:rsidRDefault="00942635" w:rsidP="00477CE0">
            <w:pPr>
              <w:jc w:val="center"/>
              <w:rPr>
                <w:lang w:val="uk-UA"/>
              </w:rPr>
            </w:pPr>
            <w:r w:rsidRPr="009D4D0B">
              <w:rPr>
                <w:lang w:val="uk-UA"/>
              </w:rPr>
              <w:t>1,1</w:t>
            </w:r>
          </w:p>
          <w:p w:rsidR="00942635" w:rsidRPr="009D4D0B" w:rsidRDefault="00942635" w:rsidP="00477CE0">
            <w:pPr>
              <w:jc w:val="center"/>
              <w:rPr>
                <w:lang w:val="uk-UA"/>
              </w:rPr>
            </w:pPr>
            <w:r w:rsidRPr="009D4D0B">
              <w:rPr>
                <w:lang w:val="uk-UA"/>
              </w:rPr>
              <w:t>1,0</w:t>
            </w:r>
          </w:p>
        </w:tc>
        <w:tc>
          <w:tcPr>
            <w:tcW w:w="1842" w:type="dxa"/>
          </w:tcPr>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r w:rsidRPr="009D4D0B">
              <w:rPr>
                <w:lang w:val="uk-UA"/>
              </w:rPr>
              <w:t>0,</w:t>
            </w:r>
            <w:r>
              <w:rPr>
                <w:lang w:val="uk-UA"/>
              </w:rPr>
              <w:t>5</w:t>
            </w:r>
          </w:p>
          <w:p w:rsidR="00942635" w:rsidRPr="009D4D0B" w:rsidRDefault="00942635" w:rsidP="00477CE0">
            <w:pPr>
              <w:jc w:val="center"/>
              <w:rPr>
                <w:lang w:val="uk-UA"/>
              </w:rPr>
            </w:pPr>
            <w:r>
              <w:rPr>
                <w:lang w:val="uk-UA"/>
              </w:rPr>
              <w:t>0,5</w:t>
            </w:r>
          </w:p>
          <w:p w:rsidR="00942635" w:rsidRPr="009D4D0B" w:rsidRDefault="00942635" w:rsidP="00477CE0">
            <w:pPr>
              <w:jc w:val="center"/>
              <w:rPr>
                <w:lang w:val="uk-UA"/>
              </w:rPr>
            </w:pPr>
            <w:r>
              <w:rPr>
                <w:lang w:val="uk-UA"/>
              </w:rPr>
              <w:t>0,5</w:t>
            </w:r>
          </w:p>
        </w:tc>
        <w:tc>
          <w:tcPr>
            <w:tcW w:w="1701" w:type="dxa"/>
          </w:tcPr>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r w:rsidRPr="009D4D0B">
              <w:rPr>
                <w:lang w:val="uk-UA"/>
              </w:rPr>
              <w:t>0,</w:t>
            </w:r>
            <w:r>
              <w:rPr>
                <w:lang w:val="uk-UA"/>
              </w:rPr>
              <w:t>60</w:t>
            </w:r>
          </w:p>
          <w:p w:rsidR="00942635" w:rsidRPr="009D4D0B" w:rsidRDefault="00942635" w:rsidP="00477CE0">
            <w:pPr>
              <w:jc w:val="center"/>
              <w:rPr>
                <w:lang w:val="uk-UA"/>
              </w:rPr>
            </w:pPr>
            <w:r>
              <w:rPr>
                <w:lang w:val="uk-UA"/>
              </w:rPr>
              <w:t>0,55</w:t>
            </w:r>
          </w:p>
          <w:p w:rsidR="00942635" w:rsidRPr="009D4D0B" w:rsidRDefault="00942635" w:rsidP="00477CE0">
            <w:pPr>
              <w:jc w:val="center"/>
              <w:rPr>
                <w:lang w:val="uk-UA"/>
              </w:rPr>
            </w:pPr>
            <w:r>
              <w:rPr>
                <w:lang w:val="uk-UA"/>
              </w:rPr>
              <w:t>0,50</w:t>
            </w:r>
          </w:p>
        </w:tc>
      </w:tr>
      <w:tr w:rsidR="00942635" w:rsidRPr="009D4D0B" w:rsidTr="00D55BBB">
        <w:tc>
          <w:tcPr>
            <w:tcW w:w="640" w:type="dxa"/>
          </w:tcPr>
          <w:p w:rsidR="00942635" w:rsidRPr="00A00F91" w:rsidRDefault="00942635" w:rsidP="00477CE0">
            <w:pPr>
              <w:jc w:val="center"/>
              <w:rPr>
                <w:sz w:val="20"/>
                <w:szCs w:val="20"/>
                <w:lang w:val="uk-UA"/>
              </w:rPr>
            </w:pPr>
            <w:r w:rsidRPr="00A00F91">
              <w:rPr>
                <w:sz w:val="20"/>
                <w:szCs w:val="20"/>
                <w:lang w:val="uk-UA"/>
              </w:rPr>
              <w:t>2</w:t>
            </w:r>
          </w:p>
        </w:tc>
        <w:tc>
          <w:tcPr>
            <w:tcW w:w="4742" w:type="dxa"/>
          </w:tcPr>
          <w:p w:rsidR="00942635" w:rsidRPr="00DE12E5" w:rsidRDefault="00942635" w:rsidP="00477CE0">
            <w:pPr>
              <w:jc w:val="both"/>
              <w:rPr>
                <w:b/>
                <w:lang w:val="uk-UA"/>
              </w:rPr>
            </w:pPr>
            <w:r w:rsidRPr="00DE12E5">
              <w:rPr>
                <w:b/>
                <w:lang w:val="en-JM"/>
              </w:rPr>
              <w:t>II</w:t>
            </w:r>
            <w:r w:rsidRPr="00DE12E5">
              <w:rPr>
                <w:b/>
                <w:lang w:val="uk-UA"/>
              </w:rPr>
              <w:t xml:space="preserve">. Будівлі офісні </w:t>
            </w:r>
            <w:r w:rsidRPr="00DE12E5">
              <w:rPr>
                <w:lang w:val="uk-UA"/>
              </w:rPr>
              <w:t>- будівлі фінансового обслуговування, адміністративно-побутові будівлі, будівлі для конторських та адміністративних цілей</w:t>
            </w:r>
          </w:p>
          <w:p w:rsidR="00942635" w:rsidRPr="00DE12E5" w:rsidRDefault="00942635" w:rsidP="00477CE0">
            <w:pPr>
              <w:jc w:val="both"/>
              <w:rPr>
                <w:b/>
                <w:lang w:val="uk-UA"/>
              </w:rPr>
            </w:pPr>
            <w:r w:rsidRPr="00DE12E5">
              <w:rPr>
                <w:b/>
                <w:lang w:val="uk-UA"/>
              </w:rPr>
              <w:t>- Центральна зона м. Тячів</w:t>
            </w:r>
          </w:p>
          <w:p w:rsidR="00942635" w:rsidRPr="00DE12E5" w:rsidRDefault="00942635" w:rsidP="00477CE0">
            <w:pPr>
              <w:jc w:val="both"/>
              <w:rPr>
                <w:b/>
                <w:lang w:val="uk-UA"/>
              </w:rPr>
            </w:pPr>
            <w:r w:rsidRPr="00DE12E5">
              <w:rPr>
                <w:b/>
                <w:lang w:val="uk-UA"/>
              </w:rPr>
              <w:t>- Зона, прилегла до центральної у м. Тячів</w:t>
            </w:r>
          </w:p>
          <w:p w:rsidR="00942635" w:rsidRPr="00DE12E5" w:rsidRDefault="00942635" w:rsidP="00477CE0">
            <w:pPr>
              <w:jc w:val="both"/>
              <w:rPr>
                <w:lang w:val="uk-UA"/>
              </w:rPr>
            </w:pPr>
            <w:r w:rsidRPr="00DE12E5">
              <w:rPr>
                <w:b/>
                <w:lang w:val="uk-UA"/>
              </w:rPr>
              <w:t>- Інші вулиці</w:t>
            </w:r>
          </w:p>
        </w:tc>
        <w:tc>
          <w:tcPr>
            <w:tcW w:w="1276" w:type="dxa"/>
          </w:tcPr>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r w:rsidRPr="009D4D0B">
              <w:rPr>
                <w:lang w:val="uk-UA"/>
              </w:rPr>
              <w:t>1,2</w:t>
            </w:r>
          </w:p>
          <w:p w:rsidR="00942635" w:rsidRPr="009D4D0B" w:rsidRDefault="00942635" w:rsidP="00477CE0">
            <w:pPr>
              <w:jc w:val="center"/>
              <w:rPr>
                <w:lang w:val="uk-UA"/>
              </w:rPr>
            </w:pPr>
            <w:r w:rsidRPr="009D4D0B">
              <w:rPr>
                <w:lang w:val="uk-UA"/>
              </w:rPr>
              <w:t>1,1</w:t>
            </w:r>
          </w:p>
          <w:p w:rsidR="00942635" w:rsidRPr="009D4D0B" w:rsidRDefault="00942635" w:rsidP="00477CE0">
            <w:pPr>
              <w:jc w:val="center"/>
              <w:rPr>
                <w:lang w:val="uk-UA"/>
              </w:rPr>
            </w:pPr>
            <w:r w:rsidRPr="009D4D0B">
              <w:rPr>
                <w:lang w:val="uk-UA"/>
              </w:rPr>
              <w:t>1,0</w:t>
            </w:r>
          </w:p>
        </w:tc>
        <w:tc>
          <w:tcPr>
            <w:tcW w:w="1842" w:type="dxa"/>
          </w:tcPr>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Default="00942635" w:rsidP="00477CE0">
            <w:pPr>
              <w:jc w:val="center"/>
              <w:rPr>
                <w:lang w:val="uk-UA"/>
              </w:rPr>
            </w:pPr>
          </w:p>
          <w:p w:rsidR="00942635" w:rsidRPr="009D4D0B" w:rsidRDefault="00942635" w:rsidP="00477CE0">
            <w:pPr>
              <w:jc w:val="center"/>
              <w:rPr>
                <w:lang w:val="uk-UA"/>
              </w:rPr>
            </w:pPr>
            <w:r>
              <w:rPr>
                <w:lang w:val="uk-UA"/>
              </w:rPr>
              <w:t>0,5</w:t>
            </w:r>
          </w:p>
          <w:p w:rsidR="00942635" w:rsidRPr="009D4D0B" w:rsidRDefault="00942635" w:rsidP="00477CE0">
            <w:pPr>
              <w:jc w:val="center"/>
              <w:rPr>
                <w:lang w:val="uk-UA"/>
              </w:rPr>
            </w:pPr>
            <w:r>
              <w:rPr>
                <w:lang w:val="uk-UA"/>
              </w:rPr>
              <w:t>0,5</w:t>
            </w:r>
          </w:p>
          <w:p w:rsidR="00942635" w:rsidRPr="009D4D0B" w:rsidRDefault="00942635" w:rsidP="00477CE0">
            <w:pPr>
              <w:jc w:val="center"/>
              <w:rPr>
                <w:lang w:val="uk-UA"/>
              </w:rPr>
            </w:pPr>
            <w:r w:rsidRPr="009D4D0B">
              <w:rPr>
                <w:lang w:val="uk-UA"/>
              </w:rPr>
              <w:t>0,</w:t>
            </w:r>
            <w:r>
              <w:rPr>
                <w:lang w:val="uk-UA"/>
              </w:rPr>
              <w:t>5</w:t>
            </w:r>
          </w:p>
        </w:tc>
        <w:tc>
          <w:tcPr>
            <w:tcW w:w="1701" w:type="dxa"/>
          </w:tcPr>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r w:rsidRPr="009D4D0B">
              <w:rPr>
                <w:lang w:val="uk-UA"/>
              </w:rPr>
              <w:t>0,</w:t>
            </w:r>
            <w:r>
              <w:rPr>
                <w:lang w:val="uk-UA"/>
              </w:rPr>
              <w:t>60</w:t>
            </w:r>
          </w:p>
          <w:p w:rsidR="00942635" w:rsidRPr="009D4D0B" w:rsidRDefault="00942635" w:rsidP="00477CE0">
            <w:pPr>
              <w:jc w:val="center"/>
              <w:rPr>
                <w:lang w:val="uk-UA"/>
              </w:rPr>
            </w:pPr>
            <w:r>
              <w:rPr>
                <w:lang w:val="uk-UA"/>
              </w:rPr>
              <w:t>0,55</w:t>
            </w:r>
          </w:p>
          <w:p w:rsidR="00942635" w:rsidRPr="009D4D0B" w:rsidRDefault="00942635" w:rsidP="00477CE0">
            <w:pPr>
              <w:jc w:val="center"/>
              <w:rPr>
                <w:lang w:val="uk-UA"/>
              </w:rPr>
            </w:pPr>
            <w:r>
              <w:rPr>
                <w:lang w:val="uk-UA"/>
              </w:rPr>
              <w:t>0,50</w:t>
            </w:r>
          </w:p>
        </w:tc>
      </w:tr>
      <w:tr w:rsidR="00942635" w:rsidRPr="009D4D0B" w:rsidTr="00D55BBB">
        <w:tc>
          <w:tcPr>
            <w:tcW w:w="640" w:type="dxa"/>
          </w:tcPr>
          <w:p w:rsidR="00942635" w:rsidRPr="00A00F91" w:rsidRDefault="00942635" w:rsidP="00477CE0">
            <w:pPr>
              <w:jc w:val="center"/>
              <w:rPr>
                <w:sz w:val="20"/>
                <w:szCs w:val="20"/>
                <w:lang w:val="uk-UA"/>
              </w:rPr>
            </w:pPr>
            <w:r w:rsidRPr="00A00F91">
              <w:rPr>
                <w:sz w:val="20"/>
                <w:szCs w:val="20"/>
                <w:lang w:val="uk-UA"/>
              </w:rPr>
              <w:t>3</w:t>
            </w:r>
          </w:p>
        </w:tc>
        <w:tc>
          <w:tcPr>
            <w:tcW w:w="4742" w:type="dxa"/>
          </w:tcPr>
          <w:p w:rsidR="00942635" w:rsidRPr="00DE12E5" w:rsidRDefault="00942635" w:rsidP="00477CE0">
            <w:pPr>
              <w:jc w:val="both"/>
              <w:rPr>
                <w:b/>
                <w:lang w:val="uk-UA"/>
              </w:rPr>
            </w:pPr>
            <w:r w:rsidRPr="00DE12E5">
              <w:rPr>
                <w:b/>
                <w:lang w:val="en-JM"/>
              </w:rPr>
              <w:t>III</w:t>
            </w:r>
            <w:r w:rsidRPr="00DE12E5">
              <w:rPr>
                <w:b/>
                <w:lang w:val="uk-UA"/>
              </w:rPr>
              <w:t xml:space="preserve">. Будівлі торговельні </w:t>
            </w:r>
            <w:r w:rsidRPr="00DE12E5">
              <w:rPr>
                <w:lang w:val="uk-UA"/>
              </w:rPr>
              <w:t>- 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p>
          <w:p w:rsidR="00942635" w:rsidRPr="00DE12E5" w:rsidRDefault="00942635" w:rsidP="00477CE0">
            <w:pPr>
              <w:jc w:val="both"/>
              <w:rPr>
                <w:b/>
                <w:lang w:val="uk-UA"/>
              </w:rPr>
            </w:pPr>
            <w:r w:rsidRPr="00DE12E5">
              <w:rPr>
                <w:b/>
                <w:lang w:val="uk-UA"/>
              </w:rPr>
              <w:t>- Центральна зона м. Тячів</w:t>
            </w:r>
          </w:p>
          <w:p w:rsidR="00942635" w:rsidRPr="00DE12E5" w:rsidRDefault="00942635" w:rsidP="00477CE0">
            <w:pPr>
              <w:jc w:val="both"/>
              <w:rPr>
                <w:b/>
                <w:lang w:val="uk-UA"/>
              </w:rPr>
            </w:pPr>
            <w:r w:rsidRPr="00DE12E5">
              <w:rPr>
                <w:b/>
                <w:lang w:val="uk-UA"/>
              </w:rPr>
              <w:t>- Зона, прилегла до центральної у м. Тячів</w:t>
            </w:r>
          </w:p>
          <w:p w:rsidR="00942635" w:rsidRPr="00DE12E5" w:rsidRDefault="00942635" w:rsidP="00477CE0">
            <w:pPr>
              <w:jc w:val="both"/>
              <w:rPr>
                <w:lang w:val="uk-UA"/>
              </w:rPr>
            </w:pPr>
            <w:r w:rsidRPr="00DE12E5">
              <w:rPr>
                <w:b/>
                <w:lang w:val="uk-UA"/>
              </w:rPr>
              <w:t>- Інші вулиці</w:t>
            </w:r>
          </w:p>
        </w:tc>
        <w:tc>
          <w:tcPr>
            <w:tcW w:w="1276" w:type="dxa"/>
          </w:tcPr>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r w:rsidRPr="009D4D0B">
              <w:rPr>
                <w:lang w:val="uk-UA"/>
              </w:rPr>
              <w:t>1,2</w:t>
            </w:r>
          </w:p>
          <w:p w:rsidR="00942635" w:rsidRPr="009D4D0B" w:rsidRDefault="00942635" w:rsidP="00477CE0">
            <w:pPr>
              <w:jc w:val="center"/>
              <w:rPr>
                <w:lang w:val="uk-UA"/>
              </w:rPr>
            </w:pPr>
            <w:r w:rsidRPr="009D4D0B">
              <w:rPr>
                <w:lang w:val="uk-UA"/>
              </w:rPr>
              <w:t>1,1</w:t>
            </w:r>
          </w:p>
          <w:p w:rsidR="00942635" w:rsidRPr="009D4D0B" w:rsidRDefault="00942635" w:rsidP="00477CE0">
            <w:pPr>
              <w:jc w:val="center"/>
              <w:rPr>
                <w:lang w:val="uk-UA"/>
              </w:rPr>
            </w:pPr>
            <w:r w:rsidRPr="009D4D0B">
              <w:rPr>
                <w:lang w:val="uk-UA"/>
              </w:rPr>
              <w:t>1,0</w:t>
            </w:r>
          </w:p>
        </w:tc>
        <w:tc>
          <w:tcPr>
            <w:tcW w:w="1842" w:type="dxa"/>
          </w:tcPr>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Default="00942635" w:rsidP="00477CE0">
            <w:pPr>
              <w:jc w:val="center"/>
              <w:rPr>
                <w:lang w:val="uk-UA"/>
              </w:rPr>
            </w:pPr>
          </w:p>
          <w:p w:rsidR="00942635" w:rsidRPr="009D4D0B" w:rsidRDefault="00942635" w:rsidP="00477CE0">
            <w:pPr>
              <w:jc w:val="center"/>
              <w:rPr>
                <w:lang w:val="uk-UA"/>
              </w:rPr>
            </w:pPr>
            <w:r>
              <w:rPr>
                <w:lang w:val="uk-UA"/>
              </w:rPr>
              <w:t>0,5</w:t>
            </w:r>
          </w:p>
          <w:p w:rsidR="00942635" w:rsidRPr="009D4D0B" w:rsidRDefault="00942635" w:rsidP="00477CE0">
            <w:pPr>
              <w:jc w:val="center"/>
              <w:rPr>
                <w:lang w:val="uk-UA"/>
              </w:rPr>
            </w:pPr>
            <w:r>
              <w:rPr>
                <w:lang w:val="uk-UA"/>
              </w:rPr>
              <w:t>0,5</w:t>
            </w:r>
          </w:p>
          <w:p w:rsidR="00942635" w:rsidRPr="009D4D0B" w:rsidRDefault="00942635" w:rsidP="00477CE0">
            <w:pPr>
              <w:jc w:val="center"/>
              <w:rPr>
                <w:lang w:val="uk-UA"/>
              </w:rPr>
            </w:pPr>
            <w:r w:rsidRPr="009D4D0B">
              <w:rPr>
                <w:lang w:val="uk-UA"/>
              </w:rPr>
              <w:t>0,</w:t>
            </w:r>
            <w:r>
              <w:rPr>
                <w:lang w:val="uk-UA"/>
              </w:rPr>
              <w:t>5</w:t>
            </w:r>
          </w:p>
        </w:tc>
        <w:tc>
          <w:tcPr>
            <w:tcW w:w="1701" w:type="dxa"/>
          </w:tcPr>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p>
          <w:p w:rsidR="00942635" w:rsidRDefault="00942635" w:rsidP="00477CE0">
            <w:pPr>
              <w:jc w:val="center"/>
              <w:rPr>
                <w:lang w:val="uk-UA"/>
              </w:rPr>
            </w:pPr>
          </w:p>
          <w:p w:rsidR="00942635" w:rsidRPr="009D4D0B" w:rsidRDefault="00942635" w:rsidP="00477CE0">
            <w:pPr>
              <w:jc w:val="center"/>
              <w:rPr>
                <w:lang w:val="uk-UA"/>
              </w:rPr>
            </w:pPr>
            <w:r w:rsidRPr="009D4D0B">
              <w:rPr>
                <w:lang w:val="uk-UA"/>
              </w:rPr>
              <w:t>0,</w:t>
            </w:r>
            <w:r>
              <w:rPr>
                <w:lang w:val="uk-UA"/>
              </w:rPr>
              <w:t>60</w:t>
            </w:r>
          </w:p>
          <w:p w:rsidR="00942635" w:rsidRPr="009D4D0B" w:rsidRDefault="00942635" w:rsidP="00477CE0">
            <w:pPr>
              <w:jc w:val="center"/>
              <w:rPr>
                <w:lang w:val="uk-UA"/>
              </w:rPr>
            </w:pPr>
            <w:r>
              <w:rPr>
                <w:lang w:val="uk-UA"/>
              </w:rPr>
              <w:t>0,55</w:t>
            </w:r>
          </w:p>
          <w:p w:rsidR="00942635" w:rsidRPr="009D4D0B" w:rsidRDefault="00942635" w:rsidP="00477CE0">
            <w:pPr>
              <w:jc w:val="center"/>
              <w:rPr>
                <w:lang w:val="uk-UA"/>
              </w:rPr>
            </w:pPr>
            <w:r>
              <w:rPr>
                <w:lang w:val="uk-UA"/>
              </w:rPr>
              <w:t>0,50</w:t>
            </w:r>
          </w:p>
        </w:tc>
      </w:tr>
      <w:tr w:rsidR="00942635" w:rsidRPr="009D4D0B" w:rsidTr="00D55BBB">
        <w:tc>
          <w:tcPr>
            <w:tcW w:w="640" w:type="dxa"/>
          </w:tcPr>
          <w:p w:rsidR="00942635" w:rsidRPr="00A00F91" w:rsidRDefault="00942635" w:rsidP="00477CE0">
            <w:pPr>
              <w:jc w:val="center"/>
              <w:rPr>
                <w:sz w:val="20"/>
                <w:szCs w:val="20"/>
                <w:lang w:val="uk-UA"/>
              </w:rPr>
            </w:pPr>
            <w:r w:rsidRPr="00A00F91">
              <w:rPr>
                <w:sz w:val="20"/>
                <w:szCs w:val="20"/>
                <w:lang w:val="uk-UA"/>
              </w:rPr>
              <w:t>4</w:t>
            </w:r>
          </w:p>
        </w:tc>
        <w:tc>
          <w:tcPr>
            <w:tcW w:w="4742" w:type="dxa"/>
          </w:tcPr>
          <w:p w:rsidR="00942635" w:rsidRPr="00DE12E5" w:rsidRDefault="00942635" w:rsidP="00477CE0">
            <w:pPr>
              <w:jc w:val="both"/>
              <w:rPr>
                <w:b/>
                <w:lang w:val="uk-UA"/>
              </w:rPr>
            </w:pPr>
            <w:r w:rsidRPr="00DE12E5">
              <w:rPr>
                <w:b/>
                <w:lang w:val="en-JM"/>
              </w:rPr>
              <w:t>IV</w:t>
            </w:r>
            <w:r w:rsidRPr="00DE12E5">
              <w:rPr>
                <w:b/>
                <w:lang w:val="uk-UA"/>
              </w:rPr>
              <w:t xml:space="preserve">. Гаражі </w:t>
            </w:r>
            <w:r w:rsidRPr="00DE12E5">
              <w:rPr>
                <w:lang w:val="uk-UA"/>
              </w:rPr>
              <w:t>- гаражі (наземні й підземні) та криті автомобільні стоянки;</w:t>
            </w:r>
          </w:p>
          <w:p w:rsidR="00942635" w:rsidRPr="00DE12E5" w:rsidRDefault="00942635" w:rsidP="00477CE0">
            <w:pPr>
              <w:jc w:val="both"/>
              <w:rPr>
                <w:b/>
                <w:lang w:val="uk-UA"/>
              </w:rPr>
            </w:pPr>
            <w:r w:rsidRPr="00DE12E5">
              <w:rPr>
                <w:b/>
                <w:lang w:val="uk-UA"/>
              </w:rPr>
              <w:t>- Центральна зона м. Тячів</w:t>
            </w:r>
          </w:p>
          <w:p w:rsidR="00942635" w:rsidRPr="00DE12E5" w:rsidRDefault="00942635" w:rsidP="00477CE0">
            <w:pPr>
              <w:jc w:val="both"/>
              <w:rPr>
                <w:b/>
                <w:lang w:val="uk-UA"/>
              </w:rPr>
            </w:pPr>
            <w:r w:rsidRPr="00DE12E5">
              <w:rPr>
                <w:b/>
                <w:lang w:val="uk-UA"/>
              </w:rPr>
              <w:t>- Зона, прилегла до центральної у м. Тячів</w:t>
            </w:r>
          </w:p>
          <w:p w:rsidR="00942635" w:rsidRPr="00DE12E5" w:rsidRDefault="00942635" w:rsidP="00477CE0">
            <w:pPr>
              <w:jc w:val="both"/>
              <w:rPr>
                <w:lang w:val="uk-UA"/>
              </w:rPr>
            </w:pPr>
            <w:r w:rsidRPr="00DE12E5">
              <w:rPr>
                <w:b/>
                <w:lang w:val="uk-UA"/>
              </w:rPr>
              <w:t>- Інші вулиці</w:t>
            </w:r>
          </w:p>
        </w:tc>
        <w:tc>
          <w:tcPr>
            <w:tcW w:w="1276" w:type="dxa"/>
          </w:tcPr>
          <w:p w:rsidR="00942635" w:rsidRPr="009D4D0B" w:rsidRDefault="00942635" w:rsidP="00477CE0">
            <w:pPr>
              <w:jc w:val="center"/>
              <w:rPr>
                <w:lang w:val="uk-UA"/>
              </w:rPr>
            </w:pPr>
          </w:p>
          <w:p w:rsidR="00942635" w:rsidRDefault="00942635" w:rsidP="00477CE0">
            <w:pPr>
              <w:jc w:val="center"/>
              <w:rPr>
                <w:lang w:val="uk-UA"/>
              </w:rPr>
            </w:pPr>
          </w:p>
          <w:p w:rsidR="00942635" w:rsidRPr="009D4D0B" w:rsidRDefault="00942635" w:rsidP="00477CE0">
            <w:pPr>
              <w:jc w:val="center"/>
              <w:rPr>
                <w:lang w:val="uk-UA"/>
              </w:rPr>
            </w:pPr>
            <w:r w:rsidRPr="009D4D0B">
              <w:rPr>
                <w:lang w:val="uk-UA"/>
              </w:rPr>
              <w:t>1,2</w:t>
            </w:r>
          </w:p>
          <w:p w:rsidR="00942635" w:rsidRPr="009D4D0B" w:rsidRDefault="00942635" w:rsidP="00477CE0">
            <w:pPr>
              <w:jc w:val="center"/>
              <w:rPr>
                <w:lang w:val="uk-UA"/>
              </w:rPr>
            </w:pPr>
            <w:r w:rsidRPr="009D4D0B">
              <w:rPr>
                <w:lang w:val="uk-UA"/>
              </w:rPr>
              <w:t>1,1</w:t>
            </w:r>
          </w:p>
          <w:p w:rsidR="00942635" w:rsidRPr="009D4D0B" w:rsidRDefault="00942635" w:rsidP="00477CE0">
            <w:pPr>
              <w:jc w:val="center"/>
              <w:rPr>
                <w:lang w:val="uk-UA"/>
              </w:rPr>
            </w:pPr>
            <w:r w:rsidRPr="009D4D0B">
              <w:rPr>
                <w:lang w:val="uk-UA"/>
              </w:rPr>
              <w:t>1,0</w:t>
            </w:r>
          </w:p>
        </w:tc>
        <w:tc>
          <w:tcPr>
            <w:tcW w:w="1842" w:type="dxa"/>
          </w:tcPr>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r>
              <w:rPr>
                <w:lang w:val="uk-UA"/>
              </w:rPr>
              <w:t>0,5</w:t>
            </w:r>
          </w:p>
          <w:p w:rsidR="00942635" w:rsidRPr="009D4D0B" w:rsidRDefault="00942635" w:rsidP="00477CE0">
            <w:pPr>
              <w:jc w:val="center"/>
              <w:rPr>
                <w:lang w:val="uk-UA"/>
              </w:rPr>
            </w:pPr>
            <w:r>
              <w:rPr>
                <w:lang w:val="uk-UA"/>
              </w:rPr>
              <w:t>0,5</w:t>
            </w:r>
          </w:p>
          <w:p w:rsidR="00942635" w:rsidRPr="009D4D0B" w:rsidRDefault="00942635" w:rsidP="00477CE0">
            <w:pPr>
              <w:jc w:val="center"/>
              <w:rPr>
                <w:lang w:val="uk-UA"/>
              </w:rPr>
            </w:pPr>
            <w:r>
              <w:rPr>
                <w:lang w:val="uk-UA"/>
              </w:rPr>
              <w:t>0,5</w:t>
            </w:r>
          </w:p>
        </w:tc>
        <w:tc>
          <w:tcPr>
            <w:tcW w:w="1701" w:type="dxa"/>
          </w:tcPr>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r w:rsidRPr="009D4D0B">
              <w:rPr>
                <w:lang w:val="uk-UA"/>
              </w:rPr>
              <w:t>0,</w:t>
            </w:r>
            <w:r>
              <w:rPr>
                <w:lang w:val="uk-UA"/>
              </w:rPr>
              <w:t>60</w:t>
            </w:r>
          </w:p>
          <w:p w:rsidR="00942635" w:rsidRPr="009D4D0B" w:rsidRDefault="00942635" w:rsidP="00477CE0">
            <w:pPr>
              <w:jc w:val="center"/>
              <w:rPr>
                <w:lang w:val="uk-UA"/>
              </w:rPr>
            </w:pPr>
            <w:r>
              <w:rPr>
                <w:lang w:val="uk-UA"/>
              </w:rPr>
              <w:t>0,55</w:t>
            </w:r>
          </w:p>
          <w:p w:rsidR="00942635" w:rsidRPr="009D4D0B" w:rsidRDefault="00942635" w:rsidP="00477CE0">
            <w:pPr>
              <w:jc w:val="center"/>
              <w:rPr>
                <w:lang w:val="uk-UA"/>
              </w:rPr>
            </w:pPr>
            <w:r>
              <w:rPr>
                <w:lang w:val="uk-UA"/>
              </w:rPr>
              <w:t>0,50</w:t>
            </w:r>
          </w:p>
        </w:tc>
      </w:tr>
      <w:tr w:rsidR="00942635" w:rsidRPr="009D4D0B" w:rsidTr="00D55BBB">
        <w:tc>
          <w:tcPr>
            <w:tcW w:w="640" w:type="dxa"/>
          </w:tcPr>
          <w:p w:rsidR="00942635" w:rsidRPr="00A00F91" w:rsidRDefault="00942635" w:rsidP="00477CE0">
            <w:pPr>
              <w:jc w:val="center"/>
              <w:rPr>
                <w:sz w:val="20"/>
                <w:szCs w:val="20"/>
                <w:lang w:val="uk-UA"/>
              </w:rPr>
            </w:pPr>
            <w:r w:rsidRPr="00A00F91">
              <w:rPr>
                <w:sz w:val="20"/>
                <w:szCs w:val="20"/>
                <w:lang w:val="uk-UA"/>
              </w:rPr>
              <w:t>5</w:t>
            </w:r>
          </w:p>
        </w:tc>
        <w:tc>
          <w:tcPr>
            <w:tcW w:w="4742" w:type="dxa"/>
          </w:tcPr>
          <w:p w:rsidR="00942635" w:rsidRDefault="00942635" w:rsidP="00477CE0">
            <w:pPr>
              <w:jc w:val="both"/>
              <w:rPr>
                <w:lang w:val="uk-UA"/>
              </w:rPr>
            </w:pPr>
            <w:r w:rsidRPr="00DE12E5">
              <w:rPr>
                <w:b/>
                <w:lang w:val="en-JM"/>
              </w:rPr>
              <w:t>V</w:t>
            </w:r>
            <w:r w:rsidRPr="00DE12E5">
              <w:rPr>
                <w:b/>
                <w:lang w:val="uk-UA"/>
              </w:rPr>
              <w:t xml:space="preserve">.  Будівлі </w:t>
            </w:r>
            <w:r w:rsidRPr="00DE12E5">
              <w:rPr>
                <w:lang w:val="uk-UA"/>
              </w:rPr>
              <w:t xml:space="preserve">для публічних виступів </w:t>
            </w:r>
          </w:p>
          <w:p w:rsidR="00942635" w:rsidRDefault="00942635" w:rsidP="00477CE0">
            <w:pPr>
              <w:jc w:val="both"/>
              <w:rPr>
                <w:lang w:val="uk-UA"/>
              </w:rPr>
            </w:pPr>
          </w:p>
          <w:p w:rsidR="00942635" w:rsidRPr="00DE12E5" w:rsidRDefault="00942635" w:rsidP="00477CE0">
            <w:pPr>
              <w:jc w:val="both"/>
              <w:rPr>
                <w:b/>
                <w:lang w:val="uk-UA"/>
              </w:rPr>
            </w:pPr>
            <w:r w:rsidRPr="00DE12E5">
              <w:rPr>
                <w:b/>
                <w:lang w:val="uk-UA"/>
              </w:rPr>
              <w:t xml:space="preserve"> Центральна зона м. Тячів</w:t>
            </w:r>
          </w:p>
          <w:p w:rsidR="00942635" w:rsidRPr="00DE12E5" w:rsidRDefault="00942635" w:rsidP="00477CE0">
            <w:pPr>
              <w:jc w:val="both"/>
              <w:rPr>
                <w:b/>
                <w:lang w:val="uk-UA"/>
              </w:rPr>
            </w:pPr>
            <w:r w:rsidRPr="00DE12E5">
              <w:rPr>
                <w:b/>
                <w:lang w:val="uk-UA"/>
              </w:rPr>
              <w:t>- Зона, прилегла до центральної у м. Тячів</w:t>
            </w:r>
          </w:p>
          <w:p w:rsidR="00942635" w:rsidRPr="00DE12E5" w:rsidRDefault="00942635" w:rsidP="00477CE0">
            <w:pPr>
              <w:jc w:val="both"/>
              <w:rPr>
                <w:lang w:val="uk-UA"/>
              </w:rPr>
            </w:pPr>
            <w:r w:rsidRPr="00DE12E5">
              <w:rPr>
                <w:b/>
                <w:lang w:val="uk-UA"/>
              </w:rPr>
              <w:t>- Інші вулиці</w:t>
            </w:r>
          </w:p>
        </w:tc>
        <w:tc>
          <w:tcPr>
            <w:tcW w:w="1276" w:type="dxa"/>
          </w:tcPr>
          <w:p w:rsidR="00942635" w:rsidRPr="000152E9" w:rsidRDefault="00942635" w:rsidP="00477CE0">
            <w:pPr>
              <w:rPr>
                <w:lang w:val="uk-UA"/>
              </w:rPr>
            </w:pPr>
            <w:r w:rsidRPr="000152E9">
              <w:rPr>
                <w:sz w:val="22"/>
                <w:szCs w:val="22"/>
                <w:lang w:val="uk-UA"/>
              </w:rPr>
              <w:t>коефіцієнт</w:t>
            </w:r>
          </w:p>
          <w:p w:rsidR="00942635" w:rsidRPr="000152E9" w:rsidRDefault="00942635" w:rsidP="00477CE0">
            <w:pPr>
              <w:rPr>
                <w:lang w:val="uk-UA"/>
              </w:rPr>
            </w:pPr>
            <w:r w:rsidRPr="000152E9">
              <w:rPr>
                <w:sz w:val="22"/>
                <w:szCs w:val="22"/>
                <w:lang w:val="uk-UA"/>
              </w:rPr>
              <w:t>не    застосовується</w:t>
            </w:r>
          </w:p>
          <w:p w:rsidR="00942635" w:rsidRPr="000152E9" w:rsidRDefault="00942635" w:rsidP="00477CE0">
            <w:pPr>
              <w:jc w:val="center"/>
              <w:rPr>
                <w:lang w:val="uk-UA"/>
              </w:rPr>
            </w:pPr>
          </w:p>
        </w:tc>
        <w:tc>
          <w:tcPr>
            <w:tcW w:w="1842" w:type="dxa"/>
          </w:tcPr>
          <w:p w:rsidR="00942635" w:rsidRPr="009F3998" w:rsidRDefault="00942635" w:rsidP="00477CE0">
            <w:pPr>
              <w:jc w:val="center"/>
              <w:rPr>
                <w:lang w:val="uk-UA"/>
              </w:rPr>
            </w:pPr>
          </w:p>
          <w:p w:rsidR="00942635" w:rsidRDefault="00942635" w:rsidP="00477CE0">
            <w:pPr>
              <w:jc w:val="center"/>
              <w:rPr>
                <w:lang w:val="uk-UA"/>
              </w:rPr>
            </w:pPr>
          </w:p>
          <w:p w:rsidR="00942635" w:rsidRPr="009F3998" w:rsidRDefault="00942635" w:rsidP="00477CE0">
            <w:pPr>
              <w:jc w:val="center"/>
              <w:rPr>
                <w:lang w:val="uk-UA"/>
              </w:rPr>
            </w:pPr>
            <w:r w:rsidRPr="009F3998">
              <w:rPr>
                <w:lang w:val="uk-UA"/>
              </w:rPr>
              <w:t>1,0</w:t>
            </w:r>
          </w:p>
          <w:p w:rsidR="00942635" w:rsidRPr="009F3998" w:rsidRDefault="00942635" w:rsidP="00477CE0">
            <w:pPr>
              <w:jc w:val="center"/>
              <w:rPr>
                <w:lang w:val="uk-UA"/>
              </w:rPr>
            </w:pPr>
            <w:r w:rsidRPr="009F3998">
              <w:rPr>
                <w:lang w:val="uk-UA"/>
              </w:rPr>
              <w:t>1,0</w:t>
            </w:r>
          </w:p>
          <w:p w:rsidR="00942635" w:rsidRPr="009D4D0B" w:rsidRDefault="00942635" w:rsidP="00477CE0">
            <w:pPr>
              <w:jc w:val="center"/>
              <w:rPr>
                <w:lang w:val="uk-UA"/>
              </w:rPr>
            </w:pPr>
            <w:r w:rsidRPr="009F3998">
              <w:rPr>
                <w:lang w:val="uk-UA"/>
              </w:rPr>
              <w:t>1,0</w:t>
            </w:r>
          </w:p>
        </w:tc>
        <w:tc>
          <w:tcPr>
            <w:tcW w:w="1701" w:type="dxa"/>
          </w:tcPr>
          <w:p w:rsidR="00942635" w:rsidRPr="009D4D0B" w:rsidRDefault="00942635" w:rsidP="00477CE0">
            <w:pPr>
              <w:jc w:val="center"/>
              <w:rPr>
                <w:lang w:val="uk-UA"/>
              </w:rPr>
            </w:pPr>
          </w:p>
          <w:p w:rsidR="00942635" w:rsidRDefault="00942635" w:rsidP="00477CE0">
            <w:pPr>
              <w:jc w:val="center"/>
              <w:rPr>
                <w:lang w:val="uk-UA"/>
              </w:rPr>
            </w:pPr>
          </w:p>
          <w:p w:rsidR="00942635" w:rsidRPr="009D4D0B" w:rsidRDefault="00942635" w:rsidP="00477CE0">
            <w:pPr>
              <w:jc w:val="center"/>
              <w:rPr>
                <w:lang w:val="uk-UA"/>
              </w:rPr>
            </w:pPr>
            <w:r w:rsidRPr="009D4D0B">
              <w:rPr>
                <w:lang w:val="uk-UA"/>
              </w:rPr>
              <w:t>1,0</w:t>
            </w:r>
          </w:p>
          <w:p w:rsidR="00942635" w:rsidRPr="009D4D0B" w:rsidRDefault="00942635" w:rsidP="00477CE0">
            <w:pPr>
              <w:jc w:val="center"/>
              <w:rPr>
                <w:lang w:val="uk-UA"/>
              </w:rPr>
            </w:pPr>
            <w:r w:rsidRPr="009D4D0B">
              <w:rPr>
                <w:lang w:val="uk-UA"/>
              </w:rPr>
              <w:t>1,0</w:t>
            </w:r>
          </w:p>
          <w:p w:rsidR="00942635" w:rsidRPr="009D4D0B" w:rsidRDefault="00942635" w:rsidP="00477CE0">
            <w:pPr>
              <w:jc w:val="center"/>
              <w:rPr>
                <w:lang w:val="uk-UA"/>
              </w:rPr>
            </w:pPr>
            <w:r w:rsidRPr="009D4D0B">
              <w:rPr>
                <w:lang w:val="uk-UA"/>
              </w:rPr>
              <w:t>1,0</w:t>
            </w:r>
          </w:p>
        </w:tc>
      </w:tr>
      <w:tr w:rsidR="00942635" w:rsidRPr="009D4D0B" w:rsidTr="00D55BBB">
        <w:tc>
          <w:tcPr>
            <w:tcW w:w="640" w:type="dxa"/>
          </w:tcPr>
          <w:p w:rsidR="00942635" w:rsidRPr="00A00F91" w:rsidRDefault="00942635" w:rsidP="00477CE0">
            <w:pPr>
              <w:jc w:val="center"/>
              <w:rPr>
                <w:sz w:val="20"/>
                <w:szCs w:val="20"/>
                <w:lang w:val="uk-UA"/>
              </w:rPr>
            </w:pPr>
            <w:r w:rsidRPr="00A00F91">
              <w:rPr>
                <w:sz w:val="20"/>
                <w:szCs w:val="20"/>
                <w:lang w:val="uk-UA"/>
              </w:rPr>
              <w:t>6</w:t>
            </w:r>
          </w:p>
        </w:tc>
        <w:tc>
          <w:tcPr>
            <w:tcW w:w="4742" w:type="dxa"/>
          </w:tcPr>
          <w:p w:rsidR="00942635" w:rsidRPr="00DE12E5" w:rsidRDefault="00942635" w:rsidP="00477CE0">
            <w:pPr>
              <w:jc w:val="both"/>
              <w:rPr>
                <w:lang w:val="uk-UA"/>
              </w:rPr>
            </w:pPr>
            <w:r w:rsidRPr="00DE12E5">
              <w:rPr>
                <w:lang w:val="en-JM"/>
              </w:rPr>
              <w:t>VI</w:t>
            </w:r>
            <w:r w:rsidRPr="00DE12E5">
              <w:t>.</w:t>
            </w:r>
            <w:r w:rsidRPr="00DE12E5">
              <w:rPr>
                <w:lang w:val="uk-UA"/>
              </w:rPr>
              <w:t xml:space="preserve"> Господарські (присадибні) будівлі  </w:t>
            </w:r>
          </w:p>
          <w:p w:rsidR="00942635" w:rsidRPr="00DE12E5" w:rsidRDefault="00942635" w:rsidP="00477CE0">
            <w:pPr>
              <w:jc w:val="both"/>
              <w:rPr>
                <w:b/>
                <w:lang w:val="uk-UA"/>
              </w:rPr>
            </w:pPr>
            <w:r w:rsidRPr="00DE12E5">
              <w:rPr>
                <w:b/>
                <w:lang w:val="uk-UA"/>
              </w:rPr>
              <w:t>- Центральна зона м. Тячів</w:t>
            </w:r>
          </w:p>
          <w:p w:rsidR="00942635" w:rsidRPr="00DE12E5" w:rsidRDefault="00942635" w:rsidP="00477CE0">
            <w:pPr>
              <w:jc w:val="both"/>
              <w:rPr>
                <w:b/>
                <w:lang w:val="uk-UA"/>
              </w:rPr>
            </w:pPr>
            <w:r w:rsidRPr="00DE12E5">
              <w:rPr>
                <w:b/>
                <w:lang w:val="uk-UA"/>
              </w:rPr>
              <w:t>- Зона, прилегла до центральної у м. Тячів</w:t>
            </w:r>
          </w:p>
          <w:p w:rsidR="00942635" w:rsidRPr="00DE12E5" w:rsidRDefault="00942635" w:rsidP="00477CE0">
            <w:pPr>
              <w:jc w:val="both"/>
              <w:rPr>
                <w:lang w:val="uk-UA"/>
              </w:rPr>
            </w:pPr>
            <w:r w:rsidRPr="00DE12E5">
              <w:rPr>
                <w:b/>
                <w:lang w:val="uk-UA"/>
              </w:rPr>
              <w:t>- Інші вулиці</w:t>
            </w:r>
          </w:p>
        </w:tc>
        <w:tc>
          <w:tcPr>
            <w:tcW w:w="1276" w:type="dxa"/>
          </w:tcPr>
          <w:p w:rsidR="00942635" w:rsidRPr="009D4D0B" w:rsidRDefault="00942635" w:rsidP="00477CE0">
            <w:pPr>
              <w:jc w:val="center"/>
              <w:rPr>
                <w:lang w:val="uk-UA"/>
              </w:rPr>
            </w:pPr>
          </w:p>
          <w:p w:rsidR="00942635" w:rsidRPr="009D4D0B" w:rsidRDefault="00942635" w:rsidP="00477CE0">
            <w:pPr>
              <w:jc w:val="center"/>
              <w:rPr>
                <w:lang w:val="uk-UA"/>
              </w:rPr>
            </w:pPr>
            <w:r w:rsidRPr="009D4D0B">
              <w:rPr>
                <w:lang w:val="uk-UA"/>
              </w:rPr>
              <w:t>1,2</w:t>
            </w:r>
          </w:p>
          <w:p w:rsidR="00942635" w:rsidRPr="009D4D0B" w:rsidRDefault="00942635" w:rsidP="00477CE0">
            <w:pPr>
              <w:jc w:val="center"/>
              <w:rPr>
                <w:lang w:val="uk-UA"/>
              </w:rPr>
            </w:pPr>
            <w:r w:rsidRPr="009D4D0B">
              <w:rPr>
                <w:lang w:val="uk-UA"/>
              </w:rPr>
              <w:t>1,1</w:t>
            </w:r>
          </w:p>
          <w:p w:rsidR="00942635" w:rsidRPr="009D4D0B" w:rsidRDefault="00942635" w:rsidP="00477CE0">
            <w:pPr>
              <w:jc w:val="center"/>
              <w:rPr>
                <w:lang w:val="uk-UA"/>
              </w:rPr>
            </w:pPr>
            <w:r w:rsidRPr="009D4D0B">
              <w:rPr>
                <w:lang w:val="uk-UA"/>
              </w:rPr>
              <w:t>1,0</w:t>
            </w:r>
          </w:p>
        </w:tc>
        <w:tc>
          <w:tcPr>
            <w:tcW w:w="1842" w:type="dxa"/>
          </w:tcPr>
          <w:p w:rsidR="00942635" w:rsidRPr="009D4D0B" w:rsidRDefault="00942635" w:rsidP="00477CE0">
            <w:pPr>
              <w:jc w:val="center"/>
              <w:rPr>
                <w:lang w:val="uk-UA"/>
              </w:rPr>
            </w:pPr>
          </w:p>
          <w:p w:rsidR="00942635" w:rsidRPr="009D4D0B" w:rsidRDefault="00942635" w:rsidP="00477CE0">
            <w:pPr>
              <w:jc w:val="center"/>
              <w:rPr>
                <w:lang w:val="uk-UA"/>
              </w:rPr>
            </w:pPr>
            <w:r w:rsidRPr="009D4D0B">
              <w:rPr>
                <w:lang w:val="uk-UA"/>
              </w:rPr>
              <w:t>0,</w:t>
            </w:r>
            <w:r>
              <w:rPr>
                <w:lang w:val="uk-UA"/>
              </w:rPr>
              <w:t>5</w:t>
            </w:r>
          </w:p>
          <w:p w:rsidR="00942635" w:rsidRPr="009D4D0B" w:rsidRDefault="00942635" w:rsidP="00477CE0">
            <w:pPr>
              <w:jc w:val="center"/>
              <w:rPr>
                <w:lang w:val="uk-UA"/>
              </w:rPr>
            </w:pPr>
            <w:r>
              <w:rPr>
                <w:lang w:val="uk-UA"/>
              </w:rPr>
              <w:t>0,5</w:t>
            </w:r>
          </w:p>
          <w:p w:rsidR="00942635" w:rsidRPr="009D4D0B" w:rsidRDefault="00942635" w:rsidP="00477CE0">
            <w:pPr>
              <w:jc w:val="center"/>
              <w:rPr>
                <w:lang w:val="uk-UA"/>
              </w:rPr>
            </w:pPr>
            <w:r w:rsidRPr="009D4D0B">
              <w:rPr>
                <w:lang w:val="uk-UA"/>
              </w:rPr>
              <w:t>0,</w:t>
            </w:r>
            <w:r>
              <w:rPr>
                <w:lang w:val="uk-UA"/>
              </w:rPr>
              <w:t>5</w:t>
            </w:r>
          </w:p>
        </w:tc>
        <w:tc>
          <w:tcPr>
            <w:tcW w:w="1701" w:type="dxa"/>
          </w:tcPr>
          <w:p w:rsidR="00942635" w:rsidRDefault="00942635" w:rsidP="00477CE0">
            <w:pPr>
              <w:jc w:val="center"/>
              <w:rPr>
                <w:lang w:val="uk-UA"/>
              </w:rPr>
            </w:pPr>
          </w:p>
          <w:p w:rsidR="00942635" w:rsidRPr="009D4D0B" w:rsidRDefault="00942635" w:rsidP="00477CE0">
            <w:pPr>
              <w:jc w:val="center"/>
              <w:rPr>
                <w:lang w:val="uk-UA"/>
              </w:rPr>
            </w:pPr>
            <w:r w:rsidRPr="009D4D0B">
              <w:rPr>
                <w:lang w:val="uk-UA"/>
              </w:rPr>
              <w:t>0,</w:t>
            </w:r>
            <w:r>
              <w:rPr>
                <w:lang w:val="uk-UA"/>
              </w:rPr>
              <w:t>60</w:t>
            </w:r>
          </w:p>
          <w:p w:rsidR="00942635" w:rsidRPr="009D4D0B" w:rsidRDefault="00942635" w:rsidP="00477CE0">
            <w:pPr>
              <w:jc w:val="center"/>
              <w:rPr>
                <w:lang w:val="uk-UA"/>
              </w:rPr>
            </w:pPr>
            <w:r>
              <w:rPr>
                <w:lang w:val="uk-UA"/>
              </w:rPr>
              <w:t>0,55</w:t>
            </w:r>
          </w:p>
          <w:p w:rsidR="00942635" w:rsidRPr="009D4D0B" w:rsidRDefault="00942635" w:rsidP="00477CE0">
            <w:pPr>
              <w:jc w:val="center"/>
              <w:rPr>
                <w:lang w:val="uk-UA"/>
              </w:rPr>
            </w:pPr>
            <w:r>
              <w:rPr>
                <w:lang w:val="uk-UA"/>
              </w:rPr>
              <w:t>0,50</w:t>
            </w:r>
          </w:p>
        </w:tc>
      </w:tr>
      <w:tr w:rsidR="00942635" w:rsidRPr="009D4D0B" w:rsidTr="00D55BBB">
        <w:trPr>
          <w:trHeight w:val="3472"/>
        </w:trPr>
        <w:tc>
          <w:tcPr>
            <w:tcW w:w="640" w:type="dxa"/>
          </w:tcPr>
          <w:p w:rsidR="00942635" w:rsidRPr="00A00F91" w:rsidRDefault="00942635" w:rsidP="00477CE0">
            <w:pPr>
              <w:jc w:val="center"/>
              <w:rPr>
                <w:sz w:val="20"/>
                <w:szCs w:val="20"/>
                <w:lang w:val="uk-UA"/>
              </w:rPr>
            </w:pPr>
            <w:r w:rsidRPr="00A00F91">
              <w:rPr>
                <w:sz w:val="20"/>
                <w:szCs w:val="20"/>
                <w:lang w:val="uk-UA"/>
              </w:rPr>
              <w:t>7</w:t>
            </w:r>
          </w:p>
        </w:tc>
        <w:tc>
          <w:tcPr>
            <w:tcW w:w="4742" w:type="dxa"/>
          </w:tcPr>
          <w:p w:rsidR="00942635" w:rsidRPr="00DE12E5" w:rsidRDefault="00942635" w:rsidP="00477CE0">
            <w:pPr>
              <w:jc w:val="both"/>
              <w:rPr>
                <w:lang w:val="uk-UA"/>
              </w:rPr>
            </w:pPr>
            <w:r w:rsidRPr="00DE12E5">
              <w:rPr>
                <w:lang w:val="en-JM"/>
              </w:rPr>
              <w:t>V</w:t>
            </w:r>
            <w:r w:rsidRPr="00DE12E5">
              <w:rPr>
                <w:lang w:val="uk-UA"/>
              </w:rPr>
              <w:t>ІІ. Інші будівлі</w:t>
            </w:r>
          </w:p>
          <w:p w:rsidR="00942635" w:rsidRPr="00DE12E5" w:rsidRDefault="00942635" w:rsidP="00477CE0">
            <w:pPr>
              <w:jc w:val="both"/>
              <w:rPr>
                <w:lang w:val="uk-UA"/>
              </w:rPr>
            </w:pPr>
            <w:r w:rsidRPr="00DE12E5">
              <w:rPr>
                <w:lang w:val="uk-UA"/>
              </w:rPr>
              <w:t>7.1.   Аптеки</w:t>
            </w:r>
          </w:p>
          <w:p w:rsidR="00942635" w:rsidRPr="00DE12E5" w:rsidRDefault="00942635" w:rsidP="00477CE0">
            <w:pPr>
              <w:jc w:val="both"/>
              <w:rPr>
                <w:b/>
                <w:lang w:val="uk-UA"/>
              </w:rPr>
            </w:pPr>
            <w:r w:rsidRPr="00DE12E5">
              <w:rPr>
                <w:b/>
                <w:lang w:val="uk-UA"/>
              </w:rPr>
              <w:t>- Центральна зона м. Тячів</w:t>
            </w:r>
          </w:p>
          <w:p w:rsidR="00942635" w:rsidRPr="00DE12E5" w:rsidRDefault="00942635" w:rsidP="00477CE0">
            <w:pPr>
              <w:jc w:val="both"/>
              <w:rPr>
                <w:b/>
                <w:lang w:val="uk-UA"/>
              </w:rPr>
            </w:pPr>
            <w:r w:rsidRPr="00DE12E5">
              <w:rPr>
                <w:b/>
                <w:lang w:val="uk-UA"/>
              </w:rPr>
              <w:t>- Зона, прилегла до центральної у м. Тячів</w:t>
            </w:r>
          </w:p>
          <w:p w:rsidR="00942635" w:rsidRPr="00DE12E5" w:rsidRDefault="00942635" w:rsidP="00477CE0">
            <w:pPr>
              <w:jc w:val="both"/>
              <w:rPr>
                <w:lang w:val="uk-UA"/>
              </w:rPr>
            </w:pPr>
            <w:r w:rsidRPr="00DE12E5">
              <w:rPr>
                <w:b/>
                <w:lang w:val="uk-UA"/>
              </w:rPr>
              <w:t>- Інші вулиці</w:t>
            </w:r>
          </w:p>
          <w:p w:rsidR="00942635" w:rsidRPr="00DE12E5" w:rsidRDefault="00942635" w:rsidP="00477CE0">
            <w:pPr>
              <w:jc w:val="both"/>
              <w:rPr>
                <w:lang w:val="uk-UA"/>
              </w:rPr>
            </w:pPr>
          </w:p>
          <w:p w:rsidR="00942635" w:rsidRPr="00DE12E5" w:rsidRDefault="00942635" w:rsidP="00477CE0">
            <w:pPr>
              <w:jc w:val="both"/>
              <w:rPr>
                <w:lang w:val="uk-UA"/>
              </w:rPr>
            </w:pPr>
            <w:r w:rsidRPr="00DE12E5">
              <w:rPr>
                <w:lang w:val="uk-UA"/>
              </w:rPr>
              <w:t xml:space="preserve">  7.2. Автозаправні станції </w:t>
            </w:r>
          </w:p>
          <w:p w:rsidR="00942635" w:rsidRPr="00DE12E5" w:rsidRDefault="00942635" w:rsidP="00477CE0">
            <w:pPr>
              <w:jc w:val="both"/>
              <w:rPr>
                <w:b/>
                <w:lang w:val="uk-UA"/>
              </w:rPr>
            </w:pPr>
            <w:r w:rsidRPr="00DE12E5">
              <w:rPr>
                <w:b/>
                <w:lang w:val="uk-UA"/>
              </w:rPr>
              <w:t>- Центральна зона м. Тячів</w:t>
            </w:r>
          </w:p>
          <w:p w:rsidR="00942635" w:rsidRPr="00DE12E5" w:rsidRDefault="00942635" w:rsidP="00477CE0">
            <w:pPr>
              <w:jc w:val="both"/>
              <w:rPr>
                <w:b/>
                <w:lang w:val="uk-UA"/>
              </w:rPr>
            </w:pPr>
            <w:r w:rsidRPr="00DE12E5">
              <w:rPr>
                <w:b/>
                <w:lang w:val="uk-UA"/>
              </w:rPr>
              <w:t>- Зона, прилегла до центральної у м. Тячів</w:t>
            </w:r>
          </w:p>
          <w:p w:rsidR="00942635" w:rsidRPr="00DE12E5" w:rsidRDefault="00942635" w:rsidP="00477CE0">
            <w:pPr>
              <w:jc w:val="both"/>
              <w:rPr>
                <w:b/>
                <w:lang w:val="uk-UA"/>
              </w:rPr>
            </w:pPr>
            <w:r w:rsidRPr="00DE12E5">
              <w:rPr>
                <w:b/>
                <w:lang w:val="uk-UA"/>
              </w:rPr>
              <w:t>- Інші вулиці</w:t>
            </w:r>
          </w:p>
          <w:p w:rsidR="00942635" w:rsidRPr="00DE12E5" w:rsidRDefault="00942635" w:rsidP="00477CE0">
            <w:pPr>
              <w:jc w:val="both"/>
              <w:rPr>
                <w:lang w:val="uk-UA"/>
              </w:rPr>
            </w:pPr>
          </w:p>
          <w:p w:rsidR="00942635" w:rsidRPr="00DE12E5" w:rsidRDefault="00942635" w:rsidP="00477CE0">
            <w:pPr>
              <w:jc w:val="both"/>
              <w:rPr>
                <w:lang w:val="uk-UA"/>
              </w:rPr>
            </w:pPr>
          </w:p>
          <w:p w:rsidR="00942635" w:rsidRPr="00DE12E5" w:rsidRDefault="00942635" w:rsidP="00477CE0">
            <w:pPr>
              <w:jc w:val="both"/>
              <w:rPr>
                <w:lang w:val="uk-UA"/>
              </w:rPr>
            </w:pPr>
          </w:p>
        </w:tc>
        <w:tc>
          <w:tcPr>
            <w:tcW w:w="1276" w:type="dxa"/>
          </w:tcPr>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r w:rsidRPr="009D4D0B">
              <w:rPr>
                <w:lang w:val="uk-UA"/>
              </w:rPr>
              <w:t>1,2</w:t>
            </w:r>
          </w:p>
          <w:p w:rsidR="00942635" w:rsidRPr="009D4D0B" w:rsidRDefault="00942635" w:rsidP="00477CE0">
            <w:pPr>
              <w:jc w:val="center"/>
              <w:rPr>
                <w:lang w:val="uk-UA"/>
              </w:rPr>
            </w:pPr>
            <w:r w:rsidRPr="009D4D0B">
              <w:rPr>
                <w:lang w:val="uk-UA"/>
              </w:rPr>
              <w:t>1,1</w:t>
            </w:r>
          </w:p>
          <w:p w:rsidR="00942635" w:rsidRPr="009D4D0B" w:rsidRDefault="00942635" w:rsidP="00477CE0">
            <w:pPr>
              <w:jc w:val="center"/>
              <w:rPr>
                <w:lang w:val="uk-UA"/>
              </w:rPr>
            </w:pPr>
            <w:r w:rsidRPr="009D4D0B">
              <w:rPr>
                <w:lang w:val="uk-UA"/>
              </w:rPr>
              <w:t>1,0</w:t>
            </w: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r w:rsidRPr="009D4D0B">
              <w:rPr>
                <w:lang w:val="uk-UA"/>
              </w:rPr>
              <w:t>1,2</w:t>
            </w:r>
          </w:p>
          <w:p w:rsidR="00942635" w:rsidRPr="009D4D0B" w:rsidRDefault="00942635" w:rsidP="00477CE0">
            <w:pPr>
              <w:jc w:val="center"/>
              <w:rPr>
                <w:lang w:val="uk-UA"/>
              </w:rPr>
            </w:pPr>
            <w:r w:rsidRPr="009D4D0B">
              <w:rPr>
                <w:lang w:val="uk-UA"/>
              </w:rPr>
              <w:t>1,1</w:t>
            </w:r>
          </w:p>
          <w:p w:rsidR="00942635" w:rsidRPr="009D4D0B" w:rsidRDefault="00942635" w:rsidP="00477CE0">
            <w:pPr>
              <w:jc w:val="center"/>
              <w:rPr>
                <w:lang w:val="uk-UA"/>
              </w:rPr>
            </w:pPr>
            <w:r w:rsidRPr="009D4D0B">
              <w:rPr>
                <w:lang w:val="uk-UA"/>
              </w:rPr>
              <w:t>1,0</w:t>
            </w:r>
          </w:p>
        </w:tc>
        <w:tc>
          <w:tcPr>
            <w:tcW w:w="1842" w:type="dxa"/>
          </w:tcPr>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r>
              <w:rPr>
                <w:lang w:val="uk-UA"/>
              </w:rPr>
              <w:t>1,</w:t>
            </w:r>
            <w:r w:rsidRPr="009D4D0B">
              <w:rPr>
                <w:lang w:val="uk-UA"/>
              </w:rPr>
              <w:t>0</w:t>
            </w:r>
          </w:p>
          <w:p w:rsidR="00942635" w:rsidRPr="009D4D0B" w:rsidRDefault="00942635" w:rsidP="00477CE0">
            <w:pPr>
              <w:jc w:val="center"/>
              <w:rPr>
                <w:lang w:val="uk-UA"/>
              </w:rPr>
            </w:pPr>
            <w:r>
              <w:rPr>
                <w:lang w:val="uk-UA"/>
              </w:rPr>
              <w:t>1,0</w:t>
            </w:r>
          </w:p>
          <w:p w:rsidR="00942635" w:rsidRPr="009D4D0B" w:rsidRDefault="00942635" w:rsidP="00477CE0">
            <w:pPr>
              <w:jc w:val="center"/>
              <w:rPr>
                <w:lang w:val="uk-UA"/>
              </w:rPr>
            </w:pPr>
            <w:r>
              <w:rPr>
                <w:lang w:val="uk-UA"/>
              </w:rPr>
              <w:t>1,0</w:t>
            </w: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r>
              <w:rPr>
                <w:lang w:val="uk-UA"/>
              </w:rPr>
              <w:t>1,0</w:t>
            </w:r>
          </w:p>
          <w:p w:rsidR="00942635" w:rsidRPr="009D4D0B" w:rsidRDefault="00942635" w:rsidP="00477CE0">
            <w:pPr>
              <w:jc w:val="center"/>
              <w:rPr>
                <w:lang w:val="uk-UA"/>
              </w:rPr>
            </w:pPr>
            <w:r>
              <w:rPr>
                <w:lang w:val="uk-UA"/>
              </w:rPr>
              <w:t>1,0</w:t>
            </w:r>
          </w:p>
          <w:p w:rsidR="00942635" w:rsidRPr="009D4D0B" w:rsidRDefault="00942635" w:rsidP="00477CE0">
            <w:pPr>
              <w:jc w:val="center"/>
              <w:rPr>
                <w:lang w:val="uk-UA"/>
              </w:rPr>
            </w:pPr>
            <w:r>
              <w:rPr>
                <w:lang w:val="uk-UA"/>
              </w:rPr>
              <w:t>1,0</w:t>
            </w:r>
          </w:p>
        </w:tc>
        <w:tc>
          <w:tcPr>
            <w:tcW w:w="1701" w:type="dxa"/>
          </w:tcPr>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r>
              <w:rPr>
                <w:lang w:val="uk-UA"/>
              </w:rPr>
              <w:t>1</w:t>
            </w:r>
            <w:r w:rsidRPr="009D4D0B">
              <w:rPr>
                <w:lang w:val="uk-UA"/>
              </w:rPr>
              <w:t>,</w:t>
            </w:r>
            <w:r>
              <w:rPr>
                <w:lang w:val="uk-UA"/>
              </w:rPr>
              <w:t>2</w:t>
            </w:r>
          </w:p>
          <w:p w:rsidR="00942635" w:rsidRPr="009D4D0B" w:rsidRDefault="00942635" w:rsidP="00477CE0">
            <w:pPr>
              <w:jc w:val="center"/>
              <w:rPr>
                <w:lang w:val="uk-UA"/>
              </w:rPr>
            </w:pPr>
            <w:r>
              <w:rPr>
                <w:lang w:val="uk-UA"/>
              </w:rPr>
              <w:t>1</w:t>
            </w:r>
            <w:r w:rsidRPr="009D4D0B">
              <w:rPr>
                <w:lang w:val="uk-UA"/>
              </w:rPr>
              <w:t>,</w:t>
            </w:r>
            <w:r>
              <w:rPr>
                <w:lang w:val="uk-UA"/>
              </w:rPr>
              <w:t>1</w:t>
            </w:r>
          </w:p>
          <w:p w:rsidR="00942635" w:rsidRPr="009D4D0B" w:rsidRDefault="00942635" w:rsidP="00477CE0">
            <w:pPr>
              <w:jc w:val="center"/>
              <w:rPr>
                <w:lang w:val="uk-UA"/>
              </w:rPr>
            </w:pPr>
            <w:r>
              <w:rPr>
                <w:lang w:val="uk-UA"/>
              </w:rPr>
              <w:t>1</w:t>
            </w:r>
            <w:r w:rsidRPr="009D4D0B">
              <w:rPr>
                <w:lang w:val="uk-UA"/>
              </w:rPr>
              <w:t>,</w:t>
            </w:r>
            <w:r>
              <w:rPr>
                <w:lang w:val="uk-UA"/>
              </w:rPr>
              <w:t>0</w:t>
            </w:r>
          </w:p>
          <w:p w:rsidR="00942635" w:rsidRPr="009D4D0B" w:rsidRDefault="00942635" w:rsidP="00477CE0">
            <w:pPr>
              <w:jc w:val="center"/>
              <w:rPr>
                <w:lang w:val="uk-UA"/>
              </w:rPr>
            </w:pPr>
          </w:p>
          <w:p w:rsidR="00942635" w:rsidRPr="009D4D0B" w:rsidRDefault="00942635" w:rsidP="00477CE0">
            <w:pPr>
              <w:jc w:val="center"/>
              <w:rPr>
                <w:lang w:val="uk-UA"/>
              </w:rPr>
            </w:pPr>
          </w:p>
          <w:p w:rsidR="00942635" w:rsidRPr="009D4D0B" w:rsidRDefault="00942635" w:rsidP="00477CE0">
            <w:pPr>
              <w:jc w:val="center"/>
              <w:rPr>
                <w:lang w:val="uk-UA"/>
              </w:rPr>
            </w:pPr>
            <w:r>
              <w:rPr>
                <w:lang w:val="uk-UA"/>
              </w:rPr>
              <w:t>1,2</w:t>
            </w:r>
          </w:p>
          <w:p w:rsidR="00942635" w:rsidRPr="009D4D0B" w:rsidRDefault="00942635" w:rsidP="00477CE0">
            <w:pPr>
              <w:jc w:val="center"/>
              <w:rPr>
                <w:lang w:val="uk-UA"/>
              </w:rPr>
            </w:pPr>
            <w:r>
              <w:rPr>
                <w:lang w:val="uk-UA"/>
              </w:rPr>
              <w:t>1,1</w:t>
            </w:r>
          </w:p>
          <w:p w:rsidR="00942635" w:rsidRPr="009D4D0B" w:rsidRDefault="00942635" w:rsidP="00477CE0">
            <w:pPr>
              <w:jc w:val="center"/>
              <w:rPr>
                <w:lang w:val="uk-UA"/>
              </w:rPr>
            </w:pPr>
            <w:r>
              <w:rPr>
                <w:lang w:val="uk-UA"/>
              </w:rPr>
              <w:t>1,0</w:t>
            </w:r>
          </w:p>
        </w:tc>
      </w:tr>
    </w:tbl>
    <w:p w:rsidR="00942635" w:rsidRDefault="00942635" w:rsidP="00CD7E59">
      <w:pPr>
        <w:jc w:val="both"/>
        <w:rPr>
          <w:i/>
          <w:lang w:val="uk-UA"/>
        </w:rPr>
      </w:pPr>
    </w:p>
    <w:p w:rsidR="00942635" w:rsidRPr="00CD7E59" w:rsidRDefault="00942635">
      <w:pPr>
        <w:rPr>
          <w:lang w:val="uk-UA"/>
        </w:rPr>
      </w:pPr>
    </w:p>
    <w:sectPr w:rsidR="00942635" w:rsidRPr="00CD7E59" w:rsidSect="00691DD6">
      <w:headerReference w:type="even" r:id="rId7"/>
      <w:headerReference w:type="default" r:id="rId8"/>
      <w:pgSz w:w="11906" w:h="16838"/>
      <w:pgMar w:top="539" w:right="566" w:bottom="719" w:left="108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635" w:rsidRDefault="00942635">
      <w:r>
        <w:separator/>
      </w:r>
    </w:p>
  </w:endnote>
  <w:endnote w:type="continuationSeparator" w:id="1">
    <w:p w:rsidR="00942635" w:rsidRDefault="009426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635" w:rsidRDefault="00942635">
      <w:r>
        <w:separator/>
      </w:r>
    </w:p>
  </w:footnote>
  <w:footnote w:type="continuationSeparator" w:id="1">
    <w:p w:rsidR="00942635" w:rsidRDefault="009426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635" w:rsidRDefault="00942635" w:rsidP="00691DD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2635" w:rsidRDefault="0094263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635" w:rsidRDefault="00942635" w:rsidP="00691DD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942635" w:rsidRDefault="0094263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C3F81"/>
    <w:multiLevelType w:val="hybridMultilevel"/>
    <w:tmpl w:val="2B2CC3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7E59"/>
    <w:rsid w:val="000152E9"/>
    <w:rsid w:val="00062B76"/>
    <w:rsid w:val="000C19C1"/>
    <w:rsid w:val="000E06B7"/>
    <w:rsid w:val="0017012A"/>
    <w:rsid w:val="0026643F"/>
    <w:rsid w:val="002B4615"/>
    <w:rsid w:val="00315D5B"/>
    <w:rsid w:val="00317224"/>
    <w:rsid w:val="003332A5"/>
    <w:rsid w:val="00400F67"/>
    <w:rsid w:val="00477CE0"/>
    <w:rsid w:val="004B40B4"/>
    <w:rsid w:val="00550ADF"/>
    <w:rsid w:val="00592D60"/>
    <w:rsid w:val="005B6BF8"/>
    <w:rsid w:val="00671168"/>
    <w:rsid w:val="00691DD6"/>
    <w:rsid w:val="007D028F"/>
    <w:rsid w:val="00845164"/>
    <w:rsid w:val="00857D17"/>
    <w:rsid w:val="00883D96"/>
    <w:rsid w:val="0088564F"/>
    <w:rsid w:val="008E14BA"/>
    <w:rsid w:val="00942635"/>
    <w:rsid w:val="009678C0"/>
    <w:rsid w:val="009B1A73"/>
    <w:rsid w:val="009D4D0B"/>
    <w:rsid w:val="009E32EF"/>
    <w:rsid w:val="009F3998"/>
    <w:rsid w:val="00A00928"/>
    <w:rsid w:val="00A00F91"/>
    <w:rsid w:val="00A64DC7"/>
    <w:rsid w:val="00AF758B"/>
    <w:rsid w:val="00B15E91"/>
    <w:rsid w:val="00B31D26"/>
    <w:rsid w:val="00B448B0"/>
    <w:rsid w:val="00BC29AF"/>
    <w:rsid w:val="00BC6151"/>
    <w:rsid w:val="00CD7E59"/>
    <w:rsid w:val="00D55BBB"/>
    <w:rsid w:val="00DB4CF8"/>
    <w:rsid w:val="00DE12E5"/>
    <w:rsid w:val="00E8493D"/>
    <w:rsid w:val="00EB4AF6"/>
    <w:rsid w:val="00EC16EC"/>
    <w:rsid w:val="00EE378F"/>
    <w:rsid w:val="00F90FC0"/>
    <w:rsid w:val="00FC6F2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E59"/>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D7E59"/>
    <w:pPr>
      <w:tabs>
        <w:tab w:val="center" w:pos="4677"/>
        <w:tab w:val="right" w:pos="9355"/>
      </w:tabs>
    </w:pPr>
  </w:style>
  <w:style w:type="character" w:customStyle="1" w:styleId="HeaderChar">
    <w:name w:val="Header Char"/>
    <w:basedOn w:val="DefaultParagraphFont"/>
    <w:link w:val="Header"/>
    <w:uiPriority w:val="99"/>
    <w:locked/>
    <w:rsid w:val="00CD7E59"/>
    <w:rPr>
      <w:rFonts w:ascii="Times New Roman" w:hAnsi="Times New Roman" w:cs="Times New Roman"/>
      <w:sz w:val="24"/>
      <w:szCs w:val="24"/>
      <w:lang w:val="ru-RU" w:eastAsia="ru-RU"/>
    </w:rPr>
  </w:style>
  <w:style w:type="character" w:styleId="PageNumber">
    <w:name w:val="page number"/>
    <w:basedOn w:val="DefaultParagraphFont"/>
    <w:uiPriority w:val="99"/>
    <w:rsid w:val="00CD7E59"/>
    <w:rPr>
      <w:rFonts w:cs="Times New Roman"/>
    </w:rPr>
  </w:style>
  <w:style w:type="character" w:customStyle="1" w:styleId="HTMLPreformattedChar">
    <w:name w:val="HTML Preformatted Char"/>
    <w:link w:val="HTMLPreformatted"/>
    <w:uiPriority w:val="99"/>
    <w:locked/>
    <w:rsid w:val="00CD7E59"/>
    <w:rPr>
      <w:color w:val="000000"/>
      <w:sz w:val="23"/>
      <w:lang w:val="ru-RU" w:eastAsia="ru-RU"/>
    </w:rPr>
  </w:style>
  <w:style w:type="paragraph" w:styleId="HTMLPreformatted">
    <w:name w:val="HTML Preformatted"/>
    <w:basedOn w:val="Normal"/>
    <w:link w:val="HTMLPreformattedChar"/>
    <w:uiPriority w:val="99"/>
    <w:rsid w:val="00CD7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alibri" w:eastAsia="Calibri" w:hAnsi="Calibri"/>
      <w:color w:val="000000"/>
      <w:sz w:val="23"/>
      <w:szCs w:val="20"/>
    </w:rPr>
  </w:style>
  <w:style w:type="character" w:customStyle="1" w:styleId="HTMLPreformattedChar1">
    <w:name w:val="HTML Preformatted Char1"/>
    <w:basedOn w:val="DefaultParagraphFont"/>
    <w:link w:val="HTMLPreformatted"/>
    <w:uiPriority w:val="99"/>
    <w:semiHidden/>
    <w:locked/>
    <w:rsid w:val="00A00928"/>
    <w:rPr>
      <w:rFonts w:ascii="Courier New" w:hAnsi="Courier New" w:cs="Courier New"/>
      <w:sz w:val="20"/>
      <w:szCs w:val="20"/>
    </w:rPr>
  </w:style>
  <w:style w:type="character" w:customStyle="1" w:styleId="HTML1">
    <w:name w:val="Стандартный HTML Знак1"/>
    <w:basedOn w:val="DefaultParagraphFont"/>
    <w:uiPriority w:val="99"/>
    <w:semiHidden/>
    <w:rsid w:val="00CD7E59"/>
    <w:rPr>
      <w:rFonts w:ascii="Consolas" w:hAnsi="Consolas" w:cs="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3</Pages>
  <Words>995</Words>
  <Characters>5674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Емма Нанаші</dc:creator>
  <cp:keywords/>
  <dc:description/>
  <cp:lastModifiedBy>user3344</cp:lastModifiedBy>
  <cp:revision>25</cp:revision>
  <cp:lastPrinted>2020-05-14T12:55:00Z</cp:lastPrinted>
  <dcterms:created xsi:type="dcterms:W3CDTF">2019-12-17T07:57:00Z</dcterms:created>
  <dcterms:modified xsi:type="dcterms:W3CDTF">2020-05-14T12:56:00Z</dcterms:modified>
</cp:coreProperties>
</file>